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276" w:rsidRDefault="00582276">
      <w:r>
        <w:t>Question 1 (5 points): Hotels</w:t>
      </w:r>
    </w:p>
    <w:p w:rsidR="00582276" w:rsidRDefault="00582276"/>
    <w:p w:rsidR="00BE3B83" w:rsidRPr="00B17F5E" w:rsidRDefault="00BE3B83">
      <w:pPr>
        <w:rPr>
          <w:b/>
        </w:rPr>
      </w:pPr>
      <w:r w:rsidRPr="00B17F5E">
        <w:rPr>
          <w:b/>
        </w:rPr>
        <w:t xml:space="preserve">Chuck Bass deeds his hotel “to Blair Waldorf for 50 years, then to Serena van der Woodsen’s oldest child who is then living in fee simple absolute.”  Serena van der Woodsen is alive and has </w:t>
      </w:r>
      <w:r w:rsidR="007B57CA" w:rsidRPr="00B17F5E">
        <w:rPr>
          <w:b/>
        </w:rPr>
        <w:t xml:space="preserve">two </w:t>
      </w:r>
      <w:r w:rsidRPr="00B17F5E">
        <w:rPr>
          <w:b/>
        </w:rPr>
        <w:t>children.</w:t>
      </w:r>
      <w:r w:rsidR="001E092F">
        <w:rPr>
          <w:b/>
        </w:rPr>
        <w:t xml:space="preserve"> </w:t>
      </w:r>
      <w:r w:rsidRPr="00B17F5E">
        <w:rPr>
          <w:b/>
        </w:rPr>
        <w:t>Identify the interests Bass attempted to create and, if they differ, the interests he did create.</w:t>
      </w:r>
    </w:p>
    <w:p w:rsidR="00743F7C" w:rsidRDefault="00743F7C"/>
    <w:p w:rsidR="00743F7C" w:rsidRDefault="00B17F5E">
      <w:r>
        <w:t>Attempt:</w:t>
      </w:r>
    </w:p>
    <w:p w:rsidR="00B17F5E" w:rsidRDefault="00B17F5E" w:rsidP="007B403B">
      <w:pPr>
        <w:pStyle w:val="ListParagraph"/>
        <w:numPr>
          <w:ilvl w:val="0"/>
          <w:numId w:val="5"/>
        </w:numPr>
      </w:pPr>
      <w:r>
        <w:t xml:space="preserve">Blair Waldorf: term of years.  The term does not end if she dies.  It goes to her heirs.  Remember that in modern law “to A” means “to A and her heirs” unless some contrary indication appears. </w:t>
      </w:r>
    </w:p>
    <w:p w:rsidR="00B17F5E" w:rsidRDefault="00B17F5E" w:rsidP="007B403B">
      <w:pPr>
        <w:pStyle w:val="ListParagraph"/>
        <w:numPr>
          <w:ilvl w:val="0"/>
          <w:numId w:val="18"/>
        </w:numPr>
      </w:pPr>
      <w:r>
        <w:t>Serena van der Woodsen’s oldest child then living: contingent remainder in fee simple.  It’s contingent because we don’t know who will be the oldest child living in 50 years; surviving to that time and being the oldest are conditions precedent that have to be satisfied before the remainder can vest.</w:t>
      </w:r>
      <w:r w:rsidR="00586E19">
        <w:t xml:space="preserve">  In other words, survival is </w:t>
      </w:r>
      <w:r w:rsidR="00586E19">
        <w:rPr>
          <w:i/>
        </w:rPr>
        <w:t>part</w:t>
      </w:r>
      <w:r w:rsidR="00586E19">
        <w:t xml:space="preserve"> of the terms of the grant.  </w:t>
      </w:r>
      <w:r w:rsidR="00830527">
        <w:t>NB: If you used certain secondary sources, you may have said that</w:t>
      </w:r>
      <w:r w:rsidR="00586E19">
        <w:t xml:space="preserve"> a contingent remainder can’t follow a term of years, thus was turned into an executory interest;</w:t>
      </w:r>
      <w:r w:rsidR="00830527">
        <w:t xml:space="preserve"> although this is not how I teach it,</w:t>
      </w:r>
      <w:r w:rsidR="00586E19">
        <w:t xml:space="preserve"> I gave credit for that answer too, but note that an executory interest would be invalid under the RAP for the same reason (see below).</w:t>
      </w:r>
    </w:p>
    <w:p w:rsidR="00B17F5E" w:rsidRDefault="007B403B" w:rsidP="007B403B">
      <w:pPr>
        <w:ind w:left="360"/>
      </w:pPr>
      <w:r>
        <w:t xml:space="preserve">(1)  </w:t>
      </w:r>
      <w:r w:rsidR="00B17F5E">
        <w:t>Bass has a reversion (if van der Woodsen has no child then living</w:t>
      </w:r>
      <w:r w:rsidR="00586E19">
        <w:t xml:space="preserve"> at the end of 50 years</w:t>
      </w:r>
      <w:r w:rsidR="00B17F5E">
        <w:t>).</w:t>
      </w:r>
    </w:p>
    <w:p w:rsidR="00B17F5E" w:rsidRDefault="00B17F5E" w:rsidP="007B403B">
      <w:pPr>
        <w:pStyle w:val="ListParagraph"/>
        <w:numPr>
          <w:ilvl w:val="0"/>
          <w:numId w:val="18"/>
        </w:numPr>
      </w:pPr>
      <w:r>
        <w:t xml:space="preserve">Actual: The contingent remainder is invalid under the RAP.  Immediately after the grant, van der Woodsen might have a </w:t>
      </w:r>
      <w:r w:rsidR="00586E19">
        <w:t xml:space="preserve">new </w:t>
      </w:r>
      <w:r>
        <w:t xml:space="preserve">child.  All the lives in being at the time of the grant might then die.  </w:t>
      </w:r>
      <w:r w:rsidR="00586E19">
        <w:t>More than 21 years</w:t>
      </w:r>
      <w:r>
        <w:t xml:space="preserve"> later, the afterborn child’s interest could vest.  </w:t>
      </w:r>
      <w:r w:rsidR="00586E19">
        <w:t xml:space="preserve">(Because of the “then living” requirement, the interest can’t vest until the child survives to the 50 year mark and the interest becomes possessory—compare a grant of the remainder to VDW’s “oldest child” without further limitation, which would vest, though not become possessory, as soon as the child was born.)  </w:t>
      </w:r>
      <w:r>
        <w:t>Strike it and give Bass a reversion after 50 years.</w:t>
      </w:r>
    </w:p>
    <w:p w:rsidR="00BE3B83" w:rsidRDefault="00BE3B83"/>
    <w:p w:rsidR="00582276" w:rsidRPr="00B17F5E" w:rsidRDefault="00582276" w:rsidP="00BE3B83">
      <w:pPr>
        <w:rPr>
          <w:b/>
        </w:rPr>
      </w:pPr>
      <w:r w:rsidRPr="00B17F5E">
        <w:rPr>
          <w:b/>
        </w:rPr>
        <w:t>Question 2 (</w:t>
      </w:r>
      <w:r w:rsidR="00C95D6A" w:rsidRPr="00B17F5E">
        <w:rPr>
          <w:b/>
        </w:rPr>
        <w:t>5 points</w:t>
      </w:r>
      <w:r w:rsidRPr="00B17F5E">
        <w:rPr>
          <w:b/>
        </w:rPr>
        <w:t>)</w:t>
      </w:r>
      <w:r w:rsidR="00C95D6A" w:rsidRPr="00B17F5E">
        <w:rPr>
          <w:b/>
        </w:rPr>
        <w:t xml:space="preserve">: </w:t>
      </w:r>
      <w:r w:rsidRPr="00B17F5E">
        <w:rPr>
          <w:b/>
        </w:rPr>
        <w:t>Education</w:t>
      </w:r>
    </w:p>
    <w:p w:rsidR="00582276" w:rsidRPr="00B17F5E" w:rsidRDefault="00582276" w:rsidP="00BE3B83">
      <w:pPr>
        <w:rPr>
          <w:b/>
        </w:rPr>
      </w:pPr>
    </w:p>
    <w:p w:rsidR="00CD0752" w:rsidRPr="00B17F5E" w:rsidRDefault="00CD0752" w:rsidP="00BE3B83">
      <w:pPr>
        <w:rPr>
          <w:b/>
        </w:rPr>
      </w:pPr>
      <w:r w:rsidRPr="00B17F5E">
        <w:rPr>
          <w:b/>
        </w:rPr>
        <w:t>Jack O’Neill</w:t>
      </w:r>
      <w:r w:rsidR="00BE3B83" w:rsidRPr="00B17F5E">
        <w:rPr>
          <w:b/>
        </w:rPr>
        <w:t xml:space="preserve"> </w:t>
      </w:r>
      <w:r w:rsidRPr="00B17F5E">
        <w:rPr>
          <w:b/>
        </w:rPr>
        <w:t>deeds</w:t>
      </w:r>
      <w:r w:rsidR="00BE3B83" w:rsidRPr="00B17F5E">
        <w:rPr>
          <w:b/>
        </w:rPr>
        <w:t xml:space="preserve"> </w:t>
      </w:r>
      <w:r w:rsidRPr="00B17F5E">
        <w:rPr>
          <w:b/>
        </w:rPr>
        <w:t>his house</w:t>
      </w:r>
      <w:r w:rsidR="00BE3B83" w:rsidRPr="00B17F5E">
        <w:rPr>
          <w:b/>
        </w:rPr>
        <w:t xml:space="preserve"> “to </w:t>
      </w:r>
      <w:r w:rsidRPr="00B17F5E">
        <w:rPr>
          <w:b/>
        </w:rPr>
        <w:t>Daniel Jackson</w:t>
      </w:r>
      <w:r w:rsidR="00BE3B83" w:rsidRPr="00B17F5E">
        <w:rPr>
          <w:b/>
        </w:rPr>
        <w:t xml:space="preserve"> for life, then to </w:t>
      </w:r>
      <w:r w:rsidRPr="00B17F5E">
        <w:rPr>
          <w:b/>
        </w:rPr>
        <w:t>Sam Carter</w:t>
      </w:r>
      <w:r w:rsidR="00BE3B83" w:rsidRPr="00B17F5E">
        <w:rPr>
          <w:b/>
        </w:rPr>
        <w:t>’s children</w:t>
      </w:r>
      <w:r w:rsidR="00C95D6A" w:rsidRPr="00B17F5E">
        <w:rPr>
          <w:b/>
        </w:rPr>
        <w:t xml:space="preserve"> then living</w:t>
      </w:r>
      <w:r w:rsidR="00BE3B83" w:rsidRPr="00B17F5E">
        <w:rPr>
          <w:b/>
        </w:rPr>
        <w:t xml:space="preserve">, </w:t>
      </w:r>
      <w:r w:rsidR="00C95D6A" w:rsidRPr="00B17F5E">
        <w:rPr>
          <w:b/>
        </w:rPr>
        <w:t>but if a child of</w:t>
      </w:r>
      <w:r w:rsidR="00BE3B83" w:rsidRPr="00B17F5E">
        <w:rPr>
          <w:b/>
        </w:rPr>
        <w:t xml:space="preserve"> </w:t>
      </w:r>
      <w:r w:rsidRPr="00B17F5E">
        <w:rPr>
          <w:b/>
        </w:rPr>
        <w:t>T. Murray</w:t>
      </w:r>
      <w:r w:rsidR="00BE3B83" w:rsidRPr="00B17F5E">
        <w:rPr>
          <w:b/>
        </w:rPr>
        <w:t xml:space="preserve"> </w:t>
      </w:r>
      <w:r w:rsidR="00C95D6A" w:rsidRPr="00B17F5E">
        <w:rPr>
          <w:b/>
        </w:rPr>
        <w:t>graduates from college, then to that child</w:t>
      </w:r>
      <w:r w:rsidR="00BE3B83" w:rsidRPr="00B17F5E">
        <w:rPr>
          <w:b/>
        </w:rPr>
        <w:t xml:space="preserve">.”  </w:t>
      </w:r>
      <w:r w:rsidRPr="00B17F5E">
        <w:rPr>
          <w:b/>
        </w:rPr>
        <w:t>Identify the interests O’Neill attempted to create and, if they differ, the interests he did create under the following circumstances:</w:t>
      </w:r>
    </w:p>
    <w:p w:rsidR="00BE3B83" w:rsidRPr="00B17F5E" w:rsidRDefault="00BE3B83" w:rsidP="00BE3B83">
      <w:pPr>
        <w:rPr>
          <w:b/>
        </w:rPr>
      </w:pPr>
      <w:r w:rsidRPr="00B17F5E">
        <w:rPr>
          <w:b/>
        </w:rPr>
        <w:t xml:space="preserve">(a) </w:t>
      </w:r>
      <w:r w:rsidR="00CD0752" w:rsidRPr="00B17F5E">
        <w:rPr>
          <w:b/>
        </w:rPr>
        <w:t>Daniel Jackson, Sam Carter</w:t>
      </w:r>
      <w:r w:rsidRPr="00B17F5E">
        <w:rPr>
          <w:b/>
        </w:rPr>
        <w:t xml:space="preserve">, and </w:t>
      </w:r>
      <w:r w:rsidR="00CD0752" w:rsidRPr="00B17F5E">
        <w:rPr>
          <w:b/>
        </w:rPr>
        <w:t>T. Murray</w:t>
      </w:r>
      <w:r w:rsidRPr="00B17F5E">
        <w:rPr>
          <w:b/>
        </w:rPr>
        <w:t xml:space="preserve"> are alive at the time of the grant.  </w:t>
      </w:r>
      <w:r w:rsidR="00CD0752" w:rsidRPr="00B17F5E">
        <w:rPr>
          <w:b/>
        </w:rPr>
        <w:t>Sam Carter</w:t>
      </w:r>
      <w:r w:rsidRPr="00B17F5E">
        <w:rPr>
          <w:b/>
        </w:rPr>
        <w:t xml:space="preserve"> has one child, </w:t>
      </w:r>
      <w:r w:rsidR="00CD0752" w:rsidRPr="00B17F5E">
        <w:rPr>
          <w:b/>
        </w:rPr>
        <w:t>Cameron</w:t>
      </w:r>
      <w:r w:rsidRPr="00B17F5E">
        <w:rPr>
          <w:b/>
        </w:rPr>
        <w:t xml:space="preserve">, and </w:t>
      </w:r>
      <w:r w:rsidR="00CD0752" w:rsidRPr="00B17F5E">
        <w:rPr>
          <w:b/>
        </w:rPr>
        <w:t>T. Murray</w:t>
      </w:r>
      <w:r w:rsidRPr="00B17F5E">
        <w:rPr>
          <w:b/>
        </w:rPr>
        <w:t xml:space="preserve"> has one child, </w:t>
      </w:r>
      <w:r w:rsidR="00CD0752" w:rsidRPr="00B17F5E">
        <w:rPr>
          <w:b/>
        </w:rPr>
        <w:t>Ryan</w:t>
      </w:r>
      <w:r w:rsidRPr="00B17F5E">
        <w:rPr>
          <w:b/>
        </w:rPr>
        <w:t>, who is two years old.</w:t>
      </w:r>
    </w:p>
    <w:p w:rsidR="00BE3B83" w:rsidRPr="00B17F5E" w:rsidRDefault="00582276" w:rsidP="00BE3B83">
      <w:pPr>
        <w:rPr>
          <w:b/>
        </w:rPr>
      </w:pPr>
      <w:r w:rsidRPr="00B17F5E">
        <w:rPr>
          <w:b/>
        </w:rPr>
        <w:t>(b) Identify any differences</w:t>
      </w:r>
      <w:r w:rsidR="0006583E" w:rsidRPr="00B17F5E">
        <w:rPr>
          <w:b/>
        </w:rPr>
        <w:t xml:space="preserve"> that exist if the </w:t>
      </w:r>
      <w:r w:rsidR="00BE3B83" w:rsidRPr="00B17F5E">
        <w:rPr>
          <w:b/>
        </w:rPr>
        <w:t>facts</w:t>
      </w:r>
      <w:r w:rsidR="0006583E" w:rsidRPr="00B17F5E">
        <w:rPr>
          <w:b/>
        </w:rPr>
        <w:t xml:space="preserve"> are</w:t>
      </w:r>
      <w:r w:rsidR="00BE3B83" w:rsidRPr="00B17F5E">
        <w:rPr>
          <w:b/>
        </w:rPr>
        <w:t xml:space="preserve"> as</w:t>
      </w:r>
      <w:r w:rsidR="0006583E" w:rsidRPr="00B17F5E">
        <w:rPr>
          <w:b/>
        </w:rPr>
        <w:t xml:space="preserve"> in</w:t>
      </w:r>
      <w:r w:rsidR="00BE3B83" w:rsidRPr="00B17F5E">
        <w:rPr>
          <w:b/>
        </w:rPr>
        <w:t xml:space="preserve"> (a), except that </w:t>
      </w:r>
      <w:r w:rsidR="00CD0752" w:rsidRPr="00B17F5E">
        <w:rPr>
          <w:b/>
        </w:rPr>
        <w:t>T. Murray</w:t>
      </w:r>
      <w:r w:rsidR="00BE3B83" w:rsidRPr="00B17F5E">
        <w:rPr>
          <w:b/>
        </w:rPr>
        <w:t xml:space="preserve"> is dead at the time of the grant.</w:t>
      </w:r>
    </w:p>
    <w:p w:rsidR="00CD0752" w:rsidRDefault="00CD0752" w:rsidP="00BE3B83"/>
    <w:p w:rsidR="00B17F5E" w:rsidRDefault="00B17F5E" w:rsidP="00B17F5E">
      <w:pPr>
        <w:pStyle w:val="ListParagraph"/>
        <w:numPr>
          <w:ilvl w:val="0"/>
          <w:numId w:val="7"/>
        </w:numPr>
      </w:pPr>
      <w:r>
        <w:lastRenderedPageBreak/>
        <w:t>Attempt:</w:t>
      </w:r>
    </w:p>
    <w:p w:rsidR="00B17F5E" w:rsidRDefault="00B17F5E" w:rsidP="00A37DD8">
      <w:pPr>
        <w:pStyle w:val="ListParagraph"/>
        <w:numPr>
          <w:ilvl w:val="0"/>
          <w:numId w:val="8"/>
        </w:numPr>
      </w:pPr>
      <w:r>
        <w:t>Daniel Jackson: life estate (</w:t>
      </w:r>
      <w:r w:rsidR="007A646F">
        <w:t>as some noted, this could be subject to executory limitation</w:t>
      </w:r>
      <w:r>
        <w:t>—if T. Murray’s child graduates from college)</w:t>
      </w:r>
      <w:r w:rsidR="007A646F">
        <w:t>.</w:t>
      </w:r>
    </w:p>
    <w:p w:rsidR="00B17F5E" w:rsidRDefault="00B17F5E" w:rsidP="00A37DD8">
      <w:pPr>
        <w:pStyle w:val="ListParagraph"/>
        <w:numPr>
          <w:ilvl w:val="0"/>
          <w:numId w:val="9"/>
        </w:numPr>
      </w:pPr>
      <w:r>
        <w:t>Cameron Carter (and other potential Carter children): contingent remainder in fee simple subject to executory limitation/condition subsequent</w:t>
      </w:r>
      <w:r w:rsidR="00586E19">
        <w:t xml:space="preserve">. This is contingent, not vested, because the children have to be “then living,” which we </w:t>
      </w:r>
      <w:r w:rsidR="007A646F">
        <w:t>won’t</w:t>
      </w:r>
      <w:r w:rsidR="00586E19">
        <w:t xml:space="preserve"> know</w:t>
      </w:r>
      <w:r w:rsidR="007A646F">
        <w:t xml:space="preserve"> until Jackson dies</w:t>
      </w:r>
      <w:r w:rsidR="00586E19">
        <w:t xml:space="preserve">.  Only vested remainders can be subject to open.  If no Carter child is living when Jackson dies, O’Neill has a reversion. </w:t>
      </w:r>
    </w:p>
    <w:p w:rsidR="00B17F5E" w:rsidRDefault="00B17F5E" w:rsidP="00A37DD8">
      <w:pPr>
        <w:pStyle w:val="ListParagraph"/>
        <w:numPr>
          <w:ilvl w:val="0"/>
          <w:numId w:val="10"/>
        </w:numPr>
      </w:pPr>
      <w:r>
        <w:t>Ryan/another potential Murray child who graduates from college: executory interest in fee simple</w:t>
      </w:r>
      <w:r w:rsidR="00586E19">
        <w:t xml:space="preserve">.  This was not an alternate contingent remainder; it was not paired with the Carters’ contingent remainder.  Consider what happens if (a) a Murray child graduates college before Jackson dies—the Murray child’s interest </w:t>
      </w:r>
      <w:r w:rsidR="007A646F">
        <w:t>might be able to</w:t>
      </w:r>
      <w:r w:rsidR="00586E19">
        <w:t xml:space="preserve"> cut off Jackson’s estate, which the Carters’ can’t; or</w:t>
      </w:r>
      <w:r w:rsidR="007A646F">
        <w:t>, even if that’s not the case,</w:t>
      </w:r>
      <w:r w:rsidR="00586E19">
        <w:t xml:space="preserve"> (b) Jackson dies, Carter children take, and then a Murray child graduates—the Murray child’s interest cuts off the Carter children’s estate rather than being an alternative to it becoming possessory.  (So what is paired with the Carter children’s contingent remainder?  O’Neill’s reversion—if there are Carter kids living when Jackson dies, they take; if there aren’t, O’Neill takes.)  In other words, the event that determines whether a Murray child takes possession is simply different than the event that determines whether the Carter children do.</w:t>
      </w:r>
      <w:r w:rsidR="007A646F">
        <w:t xml:space="preserve">  The conditions precedent to vesting are not the opposite of each other, as with a contingent remainder.</w:t>
      </w:r>
    </w:p>
    <w:p w:rsidR="00B17F5E" w:rsidRDefault="00B17F5E" w:rsidP="00A37DD8">
      <w:pPr>
        <w:pStyle w:val="ListParagraph"/>
        <w:numPr>
          <w:ilvl w:val="0"/>
          <w:numId w:val="11"/>
        </w:numPr>
      </w:pPr>
      <w:r>
        <w:t xml:space="preserve">Actual: We’ll know all of Sam Carter’s children then living when Jackson dies; he’s the validating life, so the grant to them is ok.  But </w:t>
      </w:r>
      <w:r w:rsidR="00A37DD8">
        <w:t>what if, after the grant, Carter has a new child and Murray has a new child and then every life in being at the time of the grant dies?  Carter’s new child will take the property, and that’s fine.  But, the new Murray child might graduate from college more than 21 years after that. The grant is invalid under the RAP, so the executory interest and its associated executory limitations on the life estate and the contingent remainder disappear.</w:t>
      </w:r>
    </w:p>
    <w:p w:rsidR="00A37DD8" w:rsidRDefault="00A37DD8" w:rsidP="00A37DD8">
      <w:pPr>
        <w:pStyle w:val="ListParagraph"/>
        <w:numPr>
          <w:ilvl w:val="0"/>
          <w:numId w:val="7"/>
        </w:numPr>
      </w:pPr>
      <w:r>
        <w:t>(1) If T. Murray is dead, however, his only child is Ryan, a life in being.  Ryan will either graduate from college or not within his own lifetime; thus his interest must vest or fail within 21 years of a life in being.  No RAP violation.</w:t>
      </w:r>
    </w:p>
    <w:p w:rsidR="00B17F5E" w:rsidRDefault="00B17F5E" w:rsidP="00BE3B83"/>
    <w:p w:rsidR="00582276" w:rsidRDefault="00582276" w:rsidP="000D14CE">
      <w:r>
        <w:t>Question 3 (</w:t>
      </w:r>
      <w:r w:rsidR="00C95D6A">
        <w:t>5 points</w:t>
      </w:r>
      <w:r>
        <w:t>)</w:t>
      </w:r>
      <w:r w:rsidR="00C95D6A">
        <w:t xml:space="preserve">: </w:t>
      </w:r>
      <w:r>
        <w:t>Serenity Valley</w:t>
      </w:r>
    </w:p>
    <w:p w:rsidR="00582276" w:rsidRDefault="00582276" w:rsidP="000D14CE"/>
    <w:p w:rsidR="000D14CE" w:rsidRPr="00A37DD8" w:rsidRDefault="000D14CE" w:rsidP="000D14CE">
      <w:pPr>
        <w:rPr>
          <w:b/>
        </w:rPr>
      </w:pPr>
      <w:r w:rsidRPr="00A37DD8">
        <w:rPr>
          <w:b/>
        </w:rPr>
        <w:t xml:space="preserve">Malcolm Reynolds deeds </w:t>
      </w:r>
      <w:r w:rsidR="00C8035E" w:rsidRPr="00A37DD8">
        <w:rPr>
          <w:b/>
        </w:rPr>
        <w:t>Serenity Valley</w:t>
      </w:r>
      <w:r w:rsidRPr="00A37DD8">
        <w:rPr>
          <w:b/>
        </w:rPr>
        <w:t xml:space="preserve"> “to Hoban and Zoe Washburn and Simon and River Tam as joint tenants with right of survivorship until River Tam is adjudicated competent by a court of law, and then to River Tam and her heirs in fee simple absolute.”  River Tam has not yet been adjudicated competent.</w:t>
      </w:r>
    </w:p>
    <w:p w:rsidR="000D14CE" w:rsidRDefault="00C8035E" w:rsidP="000D14CE">
      <w:pPr>
        <w:pStyle w:val="ListParagraph"/>
        <w:numPr>
          <w:ilvl w:val="0"/>
          <w:numId w:val="1"/>
        </w:numPr>
        <w:rPr>
          <w:b/>
        </w:rPr>
      </w:pPr>
      <w:r w:rsidRPr="00A37DD8">
        <w:rPr>
          <w:b/>
        </w:rPr>
        <w:t>Simon sells his interest to Zoe Washburn, then dies.  Then Hoban dies.  Who owns what interest in Serenity Valley?</w:t>
      </w:r>
    </w:p>
    <w:p w:rsidR="00586E19" w:rsidRDefault="004D222E" w:rsidP="00586E19">
      <w:pPr>
        <w:pStyle w:val="ListParagraph"/>
        <w:numPr>
          <w:ilvl w:val="0"/>
          <w:numId w:val="11"/>
        </w:numPr>
      </w:pPr>
      <w:r>
        <w:lastRenderedPageBreak/>
        <w:t xml:space="preserve">The four of them have a fee simple determinable (aka with an executory limitation), held as joint tenants.  River has an executory interest in fee simple.  </w:t>
      </w:r>
    </w:p>
    <w:p w:rsidR="00586E19" w:rsidRDefault="00586E19" w:rsidP="00586E19"/>
    <w:p w:rsidR="001E51EF" w:rsidRDefault="00A37DD8" w:rsidP="00586E19">
      <w:r>
        <w:t>Simon’s sale converts his interest into a tenancy in common</w:t>
      </w:r>
      <w:r w:rsidR="00586E19">
        <w:t xml:space="preserve">, but the remaining tenants are still joint tenants as between themselves—Simon can only change their relationship to </w:t>
      </w:r>
      <w:r w:rsidR="00586E19">
        <w:rPr>
          <w:i/>
        </w:rPr>
        <w:t>him</w:t>
      </w:r>
      <w:r w:rsidR="00586E19">
        <w:t xml:space="preserve"> unilaterally, not their relationship to each other</w:t>
      </w:r>
      <w:r>
        <w:t xml:space="preserve">.  </w:t>
      </w:r>
    </w:p>
    <w:p w:rsidR="001E51EF" w:rsidRDefault="001E51EF" w:rsidP="00586E19"/>
    <w:p w:rsidR="00A37DD8" w:rsidRDefault="001E51EF" w:rsidP="00586E19">
      <w:r w:rsidRPr="001E51EF">
        <w:t xml:space="preserve">Two possibilities emerge: First, </w:t>
      </w:r>
      <w:r>
        <w:t>Simon’s sale of</w:t>
      </w:r>
      <w:r w:rsidR="00A37DD8">
        <w:t xml:space="preserve"> a ¼ share to Zoe</w:t>
      </w:r>
      <w:r>
        <w:t xml:space="preserve"> means that she</w:t>
      </w:r>
      <w:r w:rsidR="00A37DD8">
        <w:t xml:space="preserve"> now has a ½ ownership, ¼ as joint tenant and ¼ as tenant in common.  Simon’s death is irrelevant.</w:t>
      </w:r>
      <w:r w:rsidR="004D222E">
        <w:t xml:space="preserve">  </w:t>
      </w:r>
      <w:r w:rsidR="00A37DD8">
        <w:t xml:space="preserve">Hoban’s share </w:t>
      </w:r>
      <w:r w:rsidR="00AC2894">
        <w:t>disappears/</w:t>
      </w:r>
      <w:r w:rsidR="00A37DD8">
        <w:t xml:space="preserve">is split between his remaining joint tenants at his death.  Zoe now owns 5/8.  River </w:t>
      </w:r>
      <w:r w:rsidR="004D222E">
        <w:t>owns the remaining 3/8</w:t>
      </w:r>
      <w:r w:rsidR="00A37DD8">
        <w:t xml:space="preserve">. </w:t>
      </w:r>
      <w:r w:rsidR="00586E19">
        <w:t xml:space="preserve"> </w:t>
      </w:r>
      <w:r>
        <w:t>Or more precisely, given that joint tenants’ interests are unified</w:t>
      </w:r>
      <w:r w:rsidR="00586E19">
        <w:t>: Zoe owns ¼</w:t>
      </w:r>
      <w:r w:rsidR="00AC2894">
        <w:t xml:space="preserve"> outright</w:t>
      </w:r>
      <w:r w:rsidR="00586E19">
        <w:t xml:space="preserve"> and River and Zoe </w:t>
      </w:r>
      <w:r w:rsidR="00AC2894">
        <w:t xml:space="preserve">together </w:t>
      </w:r>
      <w:r w:rsidR="00586E19">
        <w:t>own ¾ as joint tenants.</w:t>
      </w:r>
    </w:p>
    <w:p w:rsidR="001E51EF" w:rsidRDefault="001E51EF" w:rsidP="00586E19"/>
    <w:p w:rsidR="001E51EF" w:rsidRDefault="001E51EF" w:rsidP="00586E19">
      <w:r w:rsidRPr="001E51EF">
        <w:t>S</w:t>
      </w:r>
      <w:r>
        <w:t>econd, s</w:t>
      </w:r>
      <w:r w:rsidRPr="001E51EF">
        <w:t>ome people argued that Zoe’s purchase should take her out of the joint tenancy</w:t>
      </w:r>
      <w:r>
        <w:t xml:space="preserve"> too</w:t>
      </w:r>
      <w:r w:rsidRPr="001E51EF">
        <w:t xml:space="preserve"> because she’d destroyed the unities as to herself, but not River and Hoban.  In that case, when Hoban dies, Riv</w:t>
      </w:r>
      <w:r>
        <w:t>er gets his full interest, or ½</w:t>
      </w:r>
      <w:r w:rsidRPr="001E51EF">
        <w:t>.</w:t>
      </w:r>
    </w:p>
    <w:p w:rsidR="00AC2894" w:rsidRDefault="00AC2894" w:rsidP="00586E19"/>
    <w:p w:rsidR="00AC2894" w:rsidRDefault="00AC2894" w:rsidP="00586E19">
      <w:r>
        <w:t xml:space="preserve">One could argue that there’s a lack of the four unities because River has a greater interest—the additional executory interest—than the others.  </w:t>
      </w:r>
      <w:r w:rsidR="001E51EF">
        <w:t xml:space="preserve">Thus we would begin with a tenancy in common and work from there.  </w:t>
      </w:r>
      <w:r>
        <w:t>I don’t think this is the best answer because all four have the same interest in the particular estate—the fee simple determinable—at issue, but I did give credit for this answer (as long as you worked it through consistently, which meant answering the next questions with reference to various parties’ heirs).</w:t>
      </w:r>
    </w:p>
    <w:p w:rsidR="00586E19" w:rsidRPr="00A37DD8" w:rsidRDefault="00586E19" w:rsidP="00586E19"/>
    <w:p w:rsidR="00C8035E" w:rsidRPr="004D222E" w:rsidRDefault="00C8035E" w:rsidP="000D14CE">
      <w:pPr>
        <w:pStyle w:val="ListParagraph"/>
        <w:numPr>
          <w:ilvl w:val="0"/>
          <w:numId w:val="1"/>
        </w:numPr>
        <w:rPr>
          <w:b/>
        </w:rPr>
      </w:pPr>
      <w:r w:rsidRPr="004D222E">
        <w:rPr>
          <w:b/>
        </w:rPr>
        <w:t>Would anything change if Hoban had died before Simon sold?</w:t>
      </w:r>
    </w:p>
    <w:p w:rsidR="004D222E" w:rsidRDefault="004D222E" w:rsidP="004D222E">
      <w:pPr>
        <w:pStyle w:val="ListParagraph"/>
        <w:numPr>
          <w:ilvl w:val="0"/>
          <w:numId w:val="14"/>
        </w:numPr>
      </w:pPr>
      <w:r>
        <w:t>Yes.  In that case, Simon, Zoe, and River would each own 1/3 of the FSD.  Simon’s sale would leave Zo</w:t>
      </w:r>
      <w:r w:rsidR="001E51EF">
        <w:t>e with 2/3 and River with 1/3, aka Zoe with 1/3 held in common and Zoe and River together with 2/3 jointly.  If you said for (a) that Zoe destroyed the joint tenancy as to herself by buying from Simon, then Zoe has 2/3 and River 1/3, held in common.</w:t>
      </w:r>
    </w:p>
    <w:p w:rsidR="00AC2894" w:rsidRDefault="00AC2894" w:rsidP="00AC2894">
      <w:pPr>
        <w:pStyle w:val="ListParagraph"/>
        <w:ind w:left="900"/>
      </w:pPr>
    </w:p>
    <w:p w:rsidR="00C8035E" w:rsidRDefault="00C8035E" w:rsidP="000D14CE">
      <w:pPr>
        <w:pStyle w:val="ListParagraph"/>
        <w:numPr>
          <w:ilvl w:val="0"/>
          <w:numId w:val="1"/>
        </w:numPr>
        <w:rPr>
          <w:b/>
        </w:rPr>
      </w:pPr>
      <w:r w:rsidRPr="004D222E">
        <w:rPr>
          <w:b/>
        </w:rPr>
        <w:t>After the events in (a), River Tam dies without ever having been adjudicated competent.  Who owns what interest in Serenity Valley?</w:t>
      </w:r>
    </w:p>
    <w:p w:rsidR="00AC2894" w:rsidRPr="004D222E" w:rsidRDefault="00AC2894" w:rsidP="00AC2894">
      <w:pPr>
        <w:pStyle w:val="ListParagraph"/>
        <w:ind w:left="540"/>
        <w:rPr>
          <w:b/>
        </w:rPr>
      </w:pPr>
    </w:p>
    <w:p w:rsidR="004D222E" w:rsidRDefault="004D222E" w:rsidP="004D222E">
      <w:pPr>
        <w:pStyle w:val="ListParagraph"/>
        <w:numPr>
          <w:ilvl w:val="0"/>
          <w:numId w:val="15"/>
        </w:numPr>
      </w:pPr>
      <w:r>
        <w:t>River’s death means that the event that might have terminated the possessory estate can never happen.  So River’s executory interest disappears.  And her present interest goes to Zoe, the sole survivor, who now owns Serenity Valley in fee simple absolute.</w:t>
      </w:r>
      <w:r w:rsidR="00AC2894">
        <w:t xml:space="preserve">  (If you said above that there was only a tenancy in common remaining, then you should have found that River’s heirs got River’s share</w:t>
      </w:r>
      <w:r w:rsidR="007B108C">
        <w:t xml:space="preserve"> and would get credit for that</w:t>
      </w:r>
      <w:r w:rsidR="00AC2894">
        <w:t>.)</w:t>
      </w:r>
    </w:p>
    <w:p w:rsidR="00AC2894" w:rsidRDefault="00AC2894" w:rsidP="00AC2894">
      <w:pPr>
        <w:pStyle w:val="ListParagraph"/>
        <w:ind w:left="900"/>
      </w:pPr>
    </w:p>
    <w:p w:rsidR="00C8035E" w:rsidRDefault="00C8035E" w:rsidP="000D14CE">
      <w:pPr>
        <w:pStyle w:val="ListParagraph"/>
        <w:numPr>
          <w:ilvl w:val="0"/>
          <w:numId w:val="1"/>
        </w:numPr>
        <w:rPr>
          <w:b/>
        </w:rPr>
      </w:pPr>
      <w:r w:rsidRPr="004D222E">
        <w:rPr>
          <w:b/>
        </w:rPr>
        <w:lastRenderedPageBreak/>
        <w:t>Instead of (a) and (c), River Tam is adjudicated competent, then dies, leaving as her heirs Hoban and Zoe Washburn and Simon Tam.  Who owns what interest in Serenity Valley?</w:t>
      </w:r>
    </w:p>
    <w:p w:rsidR="00AC2894" w:rsidRPr="004D222E" w:rsidRDefault="00AC2894" w:rsidP="00AC2894">
      <w:pPr>
        <w:pStyle w:val="ListParagraph"/>
        <w:ind w:left="540"/>
        <w:rPr>
          <w:b/>
        </w:rPr>
      </w:pPr>
    </w:p>
    <w:p w:rsidR="001E0BBF" w:rsidRDefault="004D222E" w:rsidP="004D222E">
      <w:pPr>
        <w:pStyle w:val="ListParagraph"/>
        <w:numPr>
          <w:ilvl w:val="0"/>
          <w:numId w:val="17"/>
        </w:numPr>
      </w:pPr>
      <w:r>
        <w:t>River’s executory interest becomes possessory.  Hoban, Zoe, and Simon now own Serenity Valley as tenants in common (because that’s the modern default) in fee simple absolute.</w:t>
      </w:r>
    </w:p>
    <w:p w:rsidR="004D222E" w:rsidRDefault="004D222E" w:rsidP="004D222E">
      <w:pPr>
        <w:pStyle w:val="ListParagraph"/>
        <w:ind w:left="900"/>
      </w:pPr>
    </w:p>
    <w:p w:rsidR="003C4FE3" w:rsidRDefault="00582276" w:rsidP="0006583E">
      <w:r>
        <w:t>Question 4 (</w:t>
      </w:r>
      <w:r w:rsidR="005015D1">
        <w:t>5 points</w:t>
      </w:r>
      <w:r>
        <w:t>)</w:t>
      </w:r>
      <w:r w:rsidR="005015D1">
        <w:t>: dueling deeds</w:t>
      </w:r>
    </w:p>
    <w:p w:rsidR="005015D1" w:rsidRDefault="005015D1" w:rsidP="0006583E"/>
    <w:p w:rsidR="003C4FE3" w:rsidRPr="00BB0887" w:rsidRDefault="003C4FE3" w:rsidP="003C4FE3">
      <w:pPr>
        <w:rPr>
          <w:b/>
        </w:rPr>
      </w:pPr>
      <w:r w:rsidRPr="00BB0887">
        <w:rPr>
          <w:b/>
        </w:rPr>
        <w:t>Damon and Stefan Salvatore, brothers, owned their family home as tenants</w:t>
      </w:r>
      <w:r w:rsidR="005015D1" w:rsidRPr="00BB0887">
        <w:rPr>
          <w:b/>
        </w:rPr>
        <w:t xml:space="preserve"> in common</w:t>
      </w:r>
      <w:r w:rsidRPr="00BB0887">
        <w:rPr>
          <w:b/>
        </w:rPr>
        <w:t xml:space="preserve">.  They fought, and, in an attempt to placate Stefan, Damon executed a deed transferring his ownership interest in the home to Stefan.  Damon went to Stefan’s study and showed him the deed.  Stefan </w:t>
      </w:r>
      <w:r w:rsidR="007C1E66" w:rsidRPr="00BB0887">
        <w:rPr>
          <w:b/>
        </w:rPr>
        <w:t>dropped</w:t>
      </w:r>
      <w:r w:rsidR="00FA5B6B" w:rsidRPr="00BB0887">
        <w:rPr>
          <w:b/>
        </w:rPr>
        <w:t xml:space="preserve"> the deed </w:t>
      </w:r>
      <w:r w:rsidR="00057207" w:rsidRPr="00BB0887">
        <w:rPr>
          <w:b/>
        </w:rPr>
        <w:t>(it landed</w:t>
      </w:r>
      <w:r w:rsidR="00FA5B6B" w:rsidRPr="00BB0887">
        <w:rPr>
          <w:b/>
        </w:rPr>
        <w:t xml:space="preserve"> on his desk</w:t>
      </w:r>
      <w:r w:rsidR="00057207" w:rsidRPr="00BB0887">
        <w:rPr>
          <w:b/>
        </w:rPr>
        <w:t>)</w:t>
      </w:r>
      <w:r w:rsidR="00FA5B6B" w:rsidRPr="00BB0887">
        <w:rPr>
          <w:b/>
        </w:rPr>
        <w:t xml:space="preserve"> and yelled, “You’ll never buy my forgiveness!” Then he</w:t>
      </w:r>
      <w:r w:rsidRPr="00BB0887">
        <w:rPr>
          <w:b/>
        </w:rPr>
        <w:t xml:space="preserve"> punched </w:t>
      </w:r>
      <w:r w:rsidR="00FA5B6B" w:rsidRPr="00BB0887">
        <w:rPr>
          <w:b/>
        </w:rPr>
        <w:t>Damon</w:t>
      </w:r>
      <w:r w:rsidRPr="00BB0887">
        <w:rPr>
          <w:b/>
        </w:rPr>
        <w:t xml:space="preserve"> and left town.  Two years later, with Stefan still gone, Damon executed a new deed transferring his ownership interest to Elena Gilbert, who had no idea about the previous deed.  Damon handed the deed to Elena, telling her, “With all my family has done to yours, this is the least I can do.”  Elena recorded the deed.  A year later, Stefan returned.  Damon’s first deed was still on </w:t>
      </w:r>
      <w:r w:rsidR="000D4DD8" w:rsidRPr="00BB0887">
        <w:rPr>
          <w:b/>
        </w:rPr>
        <w:t>Stefan’s</w:t>
      </w:r>
      <w:r w:rsidRPr="00BB0887">
        <w:rPr>
          <w:b/>
        </w:rPr>
        <w:t xml:space="preserve"> desk, albeit very dusty. </w:t>
      </w:r>
      <w:r w:rsidR="009D007D" w:rsidRPr="00BB0887">
        <w:rPr>
          <w:b/>
        </w:rPr>
        <w:t xml:space="preserve"> At that point, Stefan put the deed in his safety deposit box at the bank and thanked Damon for the gesture.  Damon said, “No problem.”</w:t>
      </w:r>
      <w:r w:rsidR="001E092F">
        <w:rPr>
          <w:b/>
        </w:rPr>
        <w:t xml:space="preserve">  </w:t>
      </w:r>
      <w:r w:rsidR="005015D1" w:rsidRPr="00BB0887">
        <w:rPr>
          <w:b/>
        </w:rPr>
        <w:t>Disturbia’s recording statute reads as follows: “A conveyance of an interest in real estate shall not be valid as against any subsequent person who pays substantial value and takes without notice of the prior interest unless the interest in real estate is recorded in the registry of deeds for the county or district in which the land to which it relates lies.”</w:t>
      </w:r>
    </w:p>
    <w:p w:rsidR="005015D1" w:rsidRPr="00BB0887" w:rsidRDefault="005015D1" w:rsidP="003C4FE3">
      <w:pPr>
        <w:rPr>
          <w:b/>
        </w:rPr>
      </w:pPr>
    </w:p>
    <w:p w:rsidR="005015D1" w:rsidRPr="00BB0887" w:rsidRDefault="005015D1" w:rsidP="003C4FE3">
      <w:pPr>
        <w:rPr>
          <w:b/>
        </w:rPr>
      </w:pPr>
      <w:r w:rsidRPr="00BB0887">
        <w:rPr>
          <w:b/>
        </w:rPr>
        <w:t>Who owns the house?</w:t>
      </w:r>
    </w:p>
    <w:p w:rsidR="003C4FE3" w:rsidRDefault="003C4FE3" w:rsidP="003C4FE3"/>
    <w:p w:rsidR="00AC2894" w:rsidRDefault="00AC2894" w:rsidP="003C4FE3">
      <w:r>
        <w:t xml:space="preserve">Initial note: there is a difference between an owner and a record owner.  An unrecorded deed is valid.  It’s just vulnerable, depending on the recording statute, to certain </w:t>
      </w:r>
      <w:r w:rsidRPr="00631064">
        <w:rPr>
          <w:i/>
        </w:rPr>
        <w:t>subsequent</w:t>
      </w:r>
      <w:r>
        <w:t xml:space="preserve"> events.  But recording is not required for ownership.   Consider, for example, what happens in a notice or race-notice regime if a subsequent purchaser is aware of an unrecorded deed—then that subsequent purchaser can’t safely ignore the deed.  If </w:t>
      </w:r>
      <w:r w:rsidR="00631064">
        <w:t>an unrecorded</w:t>
      </w:r>
      <w:r>
        <w:t xml:space="preserve"> deed were simply invalid, then the subsequent purchaser could ignore it.</w:t>
      </w:r>
    </w:p>
    <w:p w:rsidR="00AC2894" w:rsidRDefault="00AC2894" w:rsidP="003C4FE3"/>
    <w:p w:rsidR="001E0BBF" w:rsidRDefault="00BB0887" w:rsidP="00E02AA7">
      <w:pPr>
        <w:pStyle w:val="ListParagraph"/>
        <w:numPr>
          <w:ilvl w:val="0"/>
          <w:numId w:val="17"/>
        </w:numPr>
      </w:pPr>
      <w:r>
        <w:t xml:space="preserve">The key here was to figure out when the gifts/attempted gifts were completed.  Donative intent is present in both cases, as is delivery, and Elena clearly accepted the gift by recording the deed.  The wild card is Stefan’s acceptance: did Stefan accept the gift?  He doesn’t seem to have done much, but not much is required, and he didn’t </w:t>
      </w:r>
      <w:r>
        <w:lastRenderedPageBreak/>
        <w:t xml:space="preserve">clearly refuse it; I </w:t>
      </w:r>
      <w:r w:rsidR="00AC2894">
        <w:t>gave</w:t>
      </w:r>
      <w:r>
        <w:t xml:space="preserve"> credit for </w:t>
      </w:r>
      <w:r w:rsidR="001E51EF">
        <w:t xml:space="preserve">an argument made for </w:t>
      </w:r>
      <w:r>
        <w:t>either position.</w:t>
      </w:r>
      <w:r w:rsidR="001E51EF">
        <w:t xml:space="preserve">  I only gave partial credit if you noted the issue but didn’t provide an answer.</w:t>
      </w:r>
    </w:p>
    <w:p w:rsidR="007C7DDC" w:rsidRDefault="00AC2894" w:rsidP="00BB0887">
      <w:pPr>
        <w:pStyle w:val="ListParagraph"/>
        <w:numPr>
          <w:ilvl w:val="0"/>
          <w:numId w:val="17"/>
        </w:numPr>
      </w:pPr>
      <w:r>
        <w:t xml:space="preserve">This is not a race-notice statute.  It is a notice statute.  </w:t>
      </w:r>
      <w:r w:rsidR="007C7DDC">
        <w:t>Compare a race-notice statute: “</w:t>
      </w:r>
      <w:r w:rsidR="007C7DDC" w:rsidRPr="007C7DDC">
        <w:t xml:space="preserve">A conveyance of an interest in real estate shall not be valid as against any person </w:t>
      </w:r>
      <w:r w:rsidR="007C7DDC" w:rsidRPr="007C7DDC">
        <w:rPr>
          <w:i/>
        </w:rPr>
        <w:t>who first records his subsequent interest</w:t>
      </w:r>
      <w:r w:rsidR="007C7DDC" w:rsidRPr="007C7DDC">
        <w:t>, pays substantial value and takes without notice of the prior interest, unless the interest in real estate is recorded in the registry of deeds for the county or district in which the lan</w:t>
      </w:r>
      <w:r w:rsidR="007C7DDC">
        <w:t>d to which it relates lies.”</w:t>
      </w:r>
      <w:r w:rsidR="008C169E">
        <w:t xml:space="preserve">  J</w:t>
      </w:r>
      <w:r w:rsidR="008C169E" w:rsidRPr="008C169E">
        <w:t xml:space="preserve">ust because we </w:t>
      </w:r>
      <w:r w:rsidR="008C169E">
        <w:t xml:space="preserve">generally </w:t>
      </w:r>
      <w:r w:rsidR="008C169E" w:rsidRPr="008C169E">
        <w:t>like recording</w:t>
      </w:r>
      <w:r w:rsidR="008C169E">
        <w:t xml:space="preserve"> as a policy matter</w:t>
      </w:r>
      <w:r w:rsidR="008C169E" w:rsidRPr="008C169E">
        <w:t xml:space="preserve"> doesn’t give you license to ignore the requirements of the recording statute.  If Elena’s recording were all it took for her to prevail, then we’d have a race statute; if Elena’s recording without notice were all it took, we’d have a </w:t>
      </w:r>
      <w:r w:rsidR="008C169E">
        <w:t>different type of race-notice</w:t>
      </w:r>
      <w:r w:rsidR="008C169E" w:rsidRPr="008C169E">
        <w:t xml:space="preserve"> statute</w:t>
      </w:r>
      <w:r>
        <w:t xml:space="preserve"> (and one that doesn’t, as far as I know, actually exist)</w:t>
      </w:r>
      <w:r w:rsidR="008C169E" w:rsidRPr="008C169E">
        <w:t>.</w:t>
      </w:r>
      <w:r w:rsidR="008C169E">
        <w:t xml:space="preserve">  Instead, there’s a</w:t>
      </w:r>
      <w:r w:rsidR="004775D2">
        <w:t xml:space="preserve"> bona fide purchaser (</w:t>
      </w:r>
      <w:r w:rsidR="008C169E">
        <w:t>BFP</w:t>
      </w:r>
      <w:r w:rsidR="004775D2">
        <w:t>)</w:t>
      </w:r>
      <w:r w:rsidR="008C169E">
        <w:t xml:space="preserve"> requirement (as there is in a standard race-notice statute), and there is no justification for reading that requirement out.</w:t>
      </w:r>
    </w:p>
    <w:p w:rsidR="007C7DDC" w:rsidRDefault="007C7DDC" w:rsidP="007C7DDC">
      <w:pPr>
        <w:ind w:left="540"/>
      </w:pPr>
    </w:p>
    <w:p w:rsidR="00540E34" w:rsidRDefault="00540E34" w:rsidP="007C7DDC">
      <w:pPr>
        <w:ind w:left="540"/>
      </w:pPr>
      <w:r>
        <w:t xml:space="preserve">Some people made the likely futile argument that Elena was a BFP because she was receiving compensation for past harm.  This is unlikely, unless she was surrendering a legal right, which does not appear to be the case from the facts given.  However, I gave credit to those who made this argument and correctly </w:t>
      </w:r>
      <w:r w:rsidR="00AC2894">
        <w:t>applied</w:t>
      </w:r>
      <w:r>
        <w:t xml:space="preserve"> the statute.</w:t>
      </w:r>
      <w:r w:rsidR="008C169E">
        <w:t xml:space="preserve">  It was still important to ask whether there was a valid gift to Stefan, however; if the gift to Stefan was invalid, then it just didn’t matter whether Elena was a BFP or a donee; in such a case, she was the </w:t>
      </w:r>
      <w:r w:rsidR="008C169E" w:rsidRPr="008C169E">
        <w:rPr>
          <w:i/>
        </w:rPr>
        <w:t>only</w:t>
      </w:r>
      <w:r w:rsidR="008C169E">
        <w:t xml:space="preserve"> contender to be the owner of Damon’s share.</w:t>
      </w:r>
    </w:p>
    <w:p w:rsidR="004775D2" w:rsidRDefault="004775D2" w:rsidP="007C7DDC">
      <w:pPr>
        <w:ind w:left="540"/>
      </w:pPr>
    </w:p>
    <w:p w:rsidR="004775D2" w:rsidRPr="004775D2" w:rsidRDefault="004775D2" w:rsidP="007C7DDC">
      <w:pPr>
        <w:ind w:left="540"/>
      </w:pPr>
      <w:r>
        <w:t xml:space="preserve">If Elena was a BFP, she didn’t need to record to prevail, because this is a notice statute, not a race-notice statute.  Sequence matters: Elena’s recording only helps her if the conveyance to her was </w:t>
      </w:r>
      <w:r>
        <w:rPr>
          <w:i/>
        </w:rPr>
        <w:t>first</w:t>
      </w:r>
      <w:r>
        <w:t>, in which case she prevails under the common law anyway</w:t>
      </w:r>
      <w:r w:rsidR="007B108C">
        <w:t xml:space="preserve"> (Stefan can’t come back and accept a gift of something Damon no longer owns)</w:t>
      </w:r>
      <w:r>
        <w:t xml:space="preserve">.  But if she was first, then her recording also provides constructive notice, so even if Stefan was a subsequent </w:t>
      </w:r>
      <w:r>
        <w:rPr>
          <w:i/>
        </w:rPr>
        <w:t>purchaser</w:t>
      </w:r>
      <w:r>
        <w:t xml:space="preserve"> (again, implausible), he couldn’t be a BFP.</w:t>
      </w:r>
    </w:p>
    <w:p w:rsidR="00540E34" w:rsidRDefault="00540E34" w:rsidP="007C7DDC">
      <w:pPr>
        <w:ind w:left="540"/>
      </w:pPr>
    </w:p>
    <w:p w:rsidR="00BB0887" w:rsidRDefault="00AC2894" w:rsidP="001E51EF">
      <w:pPr>
        <w:ind w:left="540"/>
      </w:pPr>
      <w:r>
        <w:t xml:space="preserve">In the more likely scenario, there are no BFPs here, only donees.  </w:t>
      </w:r>
      <w:r w:rsidR="00BB0887">
        <w:t xml:space="preserve">When the recording statute doesn’t apply, </w:t>
      </w:r>
      <w:r w:rsidR="008C169E">
        <w:t>we</w:t>
      </w:r>
      <w:r w:rsidR="00BB0887">
        <w:t xml:space="preserve"> use the common law, which is that you can only give what you have.  So, if you concluded that Stefan accepted the gift when it was first offered, Elena is out of luck because Damon didn’t have anything to give her; Stefan owns the whole house.  If you concluded that Stefan rejected the gift, then Damon’s gift to Elena was effective and the Damon-to-Stefan deed is worthless; Elena and Stefan each own half as tenants in common.  </w:t>
      </w:r>
    </w:p>
    <w:p w:rsidR="00BB0887" w:rsidRDefault="00BB0887" w:rsidP="00BB0887">
      <w:pPr>
        <w:pStyle w:val="ListParagraph"/>
      </w:pPr>
    </w:p>
    <w:p w:rsidR="00B1685A" w:rsidRPr="00A64FC9" w:rsidRDefault="00582276">
      <w:pPr>
        <w:rPr>
          <w:b/>
        </w:rPr>
      </w:pPr>
      <w:r w:rsidRPr="00A64FC9">
        <w:rPr>
          <w:b/>
        </w:rPr>
        <w:t xml:space="preserve">Question  </w:t>
      </w:r>
      <w:r w:rsidR="001E0BBF" w:rsidRPr="00A64FC9">
        <w:rPr>
          <w:b/>
        </w:rPr>
        <w:t>5</w:t>
      </w:r>
      <w:r w:rsidRPr="00A64FC9">
        <w:rPr>
          <w:b/>
        </w:rPr>
        <w:t xml:space="preserve"> (</w:t>
      </w:r>
      <w:r w:rsidR="005A3997" w:rsidRPr="00A64FC9">
        <w:rPr>
          <w:b/>
        </w:rPr>
        <w:t>10</w:t>
      </w:r>
      <w:r w:rsidR="00BE3B83" w:rsidRPr="00A64FC9">
        <w:rPr>
          <w:b/>
        </w:rPr>
        <w:t xml:space="preserve"> points</w:t>
      </w:r>
      <w:r w:rsidRPr="00A64FC9">
        <w:rPr>
          <w:b/>
        </w:rPr>
        <w:t>)</w:t>
      </w:r>
      <w:r w:rsidR="00730BC3" w:rsidRPr="00A64FC9">
        <w:rPr>
          <w:b/>
        </w:rPr>
        <w:t xml:space="preserve">: the Peeps Easter diorama.  </w:t>
      </w:r>
    </w:p>
    <w:p w:rsidR="00B1685A" w:rsidRPr="00A64FC9" w:rsidRDefault="00B1685A">
      <w:pPr>
        <w:rPr>
          <w:b/>
        </w:rPr>
      </w:pPr>
    </w:p>
    <w:p w:rsidR="00BF178B" w:rsidRPr="00A64FC9" w:rsidRDefault="00B1685A">
      <w:pPr>
        <w:rPr>
          <w:b/>
        </w:rPr>
      </w:pPr>
      <w:r w:rsidRPr="00A64FC9">
        <w:rPr>
          <w:b/>
        </w:rPr>
        <w:lastRenderedPageBreak/>
        <w:t>A condominium</w:t>
      </w:r>
      <w:r w:rsidR="00BF178B" w:rsidRPr="00A64FC9">
        <w:rPr>
          <w:b/>
        </w:rPr>
        <w:t xml:space="preserve">, pursuant to rules adopted by majority vote by the owners’ association, </w:t>
      </w:r>
      <w:r w:rsidR="00730BC3" w:rsidRPr="00A64FC9">
        <w:rPr>
          <w:b/>
        </w:rPr>
        <w:t>ban</w:t>
      </w:r>
      <w:r w:rsidRPr="00A64FC9">
        <w:rPr>
          <w:b/>
        </w:rPr>
        <w:t>s residents from placing</w:t>
      </w:r>
      <w:r w:rsidR="00730BC3" w:rsidRPr="00A64FC9">
        <w:rPr>
          <w:b/>
        </w:rPr>
        <w:t xml:space="preserve"> garbage</w:t>
      </w:r>
      <w:r w:rsidRPr="00A64FC9">
        <w:rPr>
          <w:b/>
        </w:rPr>
        <w:t xml:space="preserve"> anywhere but in designated receptacles</w:t>
      </w:r>
      <w:r w:rsidR="00BF178B" w:rsidRPr="00A64FC9">
        <w:rPr>
          <w:b/>
        </w:rPr>
        <w:t>, subject to a $500 fine</w:t>
      </w:r>
      <w:r w:rsidRPr="00A64FC9">
        <w:rPr>
          <w:b/>
        </w:rPr>
        <w:t xml:space="preserve">.  The </w:t>
      </w:r>
      <w:r w:rsidR="00BF178B" w:rsidRPr="00A64FC9">
        <w:rPr>
          <w:b/>
        </w:rPr>
        <w:t xml:space="preserve">same </w:t>
      </w:r>
      <w:r w:rsidRPr="00A64FC9">
        <w:rPr>
          <w:b/>
        </w:rPr>
        <w:t>rules</w:t>
      </w:r>
      <w:r w:rsidR="00730BC3" w:rsidRPr="00A64FC9">
        <w:rPr>
          <w:b/>
        </w:rPr>
        <w:t xml:space="preserve"> allow “ordinary holiday decorations” for any holiday for two weeks before the start and one week after the end of any generally recognized</w:t>
      </w:r>
      <w:r w:rsidRPr="00A64FC9">
        <w:rPr>
          <w:b/>
        </w:rPr>
        <w:t xml:space="preserve"> holiday.  </w:t>
      </w:r>
      <w:r w:rsidR="00BF178B" w:rsidRPr="00A64FC9">
        <w:rPr>
          <w:b/>
        </w:rPr>
        <w:t>By majority vote, enforcement decisions are delegated to an elected board of five owners, which itself can make decisions by majority vote.</w:t>
      </w:r>
    </w:p>
    <w:p w:rsidR="00BF178B" w:rsidRDefault="00BF178B"/>
    <w:p w:rsidR="00AA57C5" w:rsidRPr="00A64FC9" w:rsidRDefault="00BF178B">
      <w:pPr>
        <w:rPr>
          <w:b/>
        </w:rPr>
      </w:pPr>
      <w:r w:rsidRPr="00A64FC9">
        <w:rPr>
          <w:b/>
        </w:rPr>
        <w:t xml:space="preserve">In the past, residents have complained about several </w:t>
      </w:r>
      <w:r w:rsidR="00730BC3" w:rsidRPr="00A64FC9">
        <w:rPr>
          <w:b/>
        </w:rPr>
        <w:t>displays including</w:t>
      </w:r>
      <w:r w:rsidRPr="00A64FC9">
        <w:rPr>
          <w:b/>
        </w:rPr>
        <w:t>:</w:t>
      </w:r>
      <w:r w:rsidR="00730BC3" w:rsidRPr="00A64FC9">
        <w:rPr>
          <w:b/>
        </w:rPr>
        <w:t xml:space="preserve"> a </w:t>
      </w:r>
      <w:r w:rsidR="005F2711" w:rsidRPr="00A64FC9">
        <w:rPr>
          <w:b/>
        </w:rPr>
        <w:t xml:space="preserve">realistic, </w:t>
      </w:r>
      <w:r w:rsidR="00730BC3" w:rsidRPr="00A64FC9">
        <w:rPr>
          <w:b/>
        </w:rPr>
        <w:t>graphic crucified Jesus</w:t>
      </w:r>
      <w:r w:rsidRPr="00A64FC9">
        <w:rPr>
          <w:b/>
        </w:rPr>
        <w:t xml:space="preserve"> with blood streaming down his body (for Easter)</w:t>
      </w:r>
      <w:r w:rsidR="00730BC3" w:rsidRPr="00A64FC9">
        <w:rPr>
          <w:b/>
        </w:rPr>
        <w:t>, an Israeli flag</w:t>
      </w:r>
      <w:r w:rsidRPr="00A64FC9">
        <w:rPr>
          <w:b/>
        </w:rPr>
        <w:t xml:space="preserve"> (part of a Purim display)</w:t>
      </w:r>
      <w:r w:rsidR="00730BC3" w:rsidRPr="00A64FC9">
        <w:rPr>
          <w:b/>
        </w:rPr>
        <w:t xml:space="preserve">, </w:t>
      </w:r>
      <w:r w:rsidR="00B1685A" w:rsidRPr="00A64FC9">
        <w:rPr>
          <w:b/>
        </w:rPr>
        <w:t xml:space="preserve">Diwali lights (for a Hindu festival), </w:t>
      </w:r>
      <w:r w:rsidR="00730BC3" w:rsidRPr="00A64FC9">
        <w:rPr>
          <w:b/>
        </w:rPr>
        <w:t xml:space="preserve">and </w:t>
      </w:r>
      <w:r w:rsidR="00B1685A" w:rsidRPr="00A64FC9">
        <w:rPr>
          <w:b/>
        </w:rPr>
        <w:t xml:space="preserve">a Festivus display (Festivus is a holiday invented by the TV show </w:t>
      </w:r>
      <w:r w:rsidR="00B1685A" w:rsidRPr="00A64FC9">
        <w:rPr>
          <w:b/>
          <w:i/>
        </w:rPr>
        <w:t>Seinfeld</w:t>
      </w:r>
      <w:r w:rsidRPr="00A64FC9">
        <w:rPr>
          <w:b/>
        </w:rPr>
        <w:t>).  In each case, the governing board unanimously determined that these displays</w:t>
      </w:r>
      <w:r w:rsidR="00B1685A" w:rsidRPr="00A64FC9">
        <w:rPr>
          <w:b/>
        </w:rPr>
        <w:t xml:space="preserve"> were within the range of “ordinary holiday decorations” and were thus allowed to stay up during the appropriate period.</w:t>
      </w:r>
    </w:p>
    <w:p w:rsidR="00B1685A" w:rsidRPr="00A64FC9" w:rsidRDefault="00B1685A">
      <w:pPr>
        <w:rPr>
          <w:b/>
        </w:rPr>
      </w:pPr>
    </w:p>
    <w:p w:rsidR="00B1685A" w:rsidRPr="00A64FC9" w:rsidRDefault="00BF178B">
      <w:pPr>
        <w:rPr>
          <w:b/>
        </w:rPr>
      </w:pPr>
      <w:r w:rsidRPr="00A64FC9">
        <w:rPr>
          <w:b/>
        </w:rPr>
        <w:t>Just before Easter, unit owner Don Lamb put up a Peeps crucifixion on his door.  Peeps are edible marshmallow confections often used in food-based art.  After neighbor</w:t>
      </w:r>
      <w:r w:rsidR="008571A6" w:rsidRPr="00A64FC9">
        <w:rPr>
          <w:b/>
        </w:rPr>
        <w:t xml:space="preserve"> and board member</w:t>
      </w:r>
      <w:r w:rsidR="00771882" w:rsidRPr="00A64FC9">
        <w:rPr>
          <w:b/>
        </w:rPr>
        <w:t xml:space="preserve"> Veronica Mars—who had previously fought with Lamb over his complaints about her father’s</w:t>
      </w:r>
      <w:r w:rsidR="00664F5A" w:rsidRPr="00A64FC9">
        <w:rPr>
          <w:b/>
        </w:rPr>
        <w:t xml:space="preserve"> </w:t>
      </w:r>
      <w:r w:rsidR="00771882" w:rsidRPr="00A64FC9">
        <w:rPr>
          <w:b/>
        </w:rPr>
        <w:t>eccentric behavior—</w:t>
      </w:r>
      <w:r w:rsidRPr="00A64FC9">
        <w:rPr>
          <w:b/>
        </w:rPr>
        <w:t>had to physically drag her dog Backup away from leaping at the tempting display, Mars complained to the board</w:t>
      </w:r>
      <w:r w:rsidR="00771882" w:rsidRPr="00A64FC9">
        <w:rPr>
          <w:b/>
        </w:rPr>
        <w:t>. B</w:t>
      </w:r>
      <w:r w:rsidRPr="00A64FC9">
        <w:rPr>
          <w:b/>
        </w:rPr>
        <w:t>y a 3-2 vote</w:t>
      </w:r>
      <w:r w:rsidR="00771882" w:rsidRPr="00A64FC9">
        <w:rPr>
          <w:b/>
        </w:rPr>
        <w:t xml:space="preserve"> (Mars in the majority)</w:t>
      </w:r>
      <w:r w:rsidRPr="00A64FC9">
        <w:rPr>
          <w:b/>
        </w:rPr>
        <w:t xml:space="preserve"> </w:t>
      </w:r>
      <w:r w:rsidR="00771882" w:rsidRPr="00A64FC9">
        <w:rPr>
          <w:b/>
        </w:rPr>
        <w:t xml:space="preserve">the board </w:t>
      </w:r>
      <w:r w:rsidRPr="00A64FC9">
        <w:rPr>
          <w:b/>
        </w:rPr>
        <w:t>determined that the display was “garbage” in that it was food not properly disposed of in a designated receptacle.  Lamb was fined $500 and the display was removed by maintenance personnel.</w:t>
      </w:r>
    </w:p>
    <w:p w:rsidR="00B1685A" w:rsidRPr="00A64FC9" w:rsidRDefault="00B1685A">
      <w:pPr>
        <w:rPr>
          <w:b/>
        </w:rPr>
      </w:pPr>
    </w:p>
    <w:p w:rsidR="00C06CA6" w:rsidRPr="00A64FC9" w:rsidRDefault="00BF178B">
      <w:pPr>
        <w:rPr>
          <w:b/>
        </w:rPr>
      </w:pPr>
      <w:r w:rsidRPr="00A64FC9">
        <w:rPr>
          <w:b/>
        </w:rPr>
        <w:t>Lamb has sued the association</w:t>
      </w:r>
      <w:r w:rsidR="008571A6" w:rsidRPr="00A64FC9">
        <w:rPr>
          <w:b/>
        </w:rPr>
        <w:t xml:space="preserve"> for a refund and a declaration that his display was allowed</w:t>
      </w:r>
      <w:r w:rsidRPr="00A64FC9">
        <w:rPr>
          <w:b/>
        </w:rPr>
        <w:t>.  Assess his claims</w:t>
      </w:r>
      <w:r w:rsidR="002A7706" w:rsidRPr="00A64FC9">
        <w:rPr>
          <w:b/>
        </w:rPr>
        <w:t xml:space="preserve"> under the Restatement</w:t>
      </w:r>
      <w:r w:rsidRPr="00A64FC9">
        <w:rPr>
          <w:b/>
        </w:rPr>
        <w:t xml:space="preserve"> and explain who should win the lawsuit.</w:t>
      </w:r>
      <w:r w:rsidR="002A7706" w:rsidRPr="00A64FC9">
        <w:rPr>
          <w:b/>
        </w:rPr>
        <w:t xml:space="preserve"> (I don’t care about his remedy, if any</w:t>
      </w:r>
      <w:r w:rsidR="00664F5A" w:rsidRPr="00A64FC9">
        <w:rPr>
          <w:b/>
        </w:rPr>
        <w:t>, so don’t spend time on that</w:t>
      </w:r>
      <w:r w:rsidR="002A7706" w:rsidRPr="00A64FC9">
        <w:rPr>
          <w:b/>
        </w:rPr>
        <w:t>. I want to know if the Board’s decision should be upheld.)</w:t>
      </w:r>
    </w:p>
    <w:p w:rsidR="001E0BBF" w:rsidRDefault="001E0BBF"/>
    <w:p w:rsidR="00FB2615" w:rsidRDefault="00C25E58" w:rsidP="001E0BBF">
      <w:r>
        <w:t xml:space="preserve">The amount of credit you got here depended on discussion of the substantive and procedural aspects of the board’s decisionmaking.  What standard should be applied to the rules?  Since they </w:t>
      </w:r>
      <w:r w:rsidR="00F57107">
        <w:t>were adopted by the board rather than being</w:t>
      </w:r>
      <w:r>
        <w:t xml:space="preserve"> part of the original covenants, it seems </w:t>
      </w:r>
      <w:r w:rsidR="00075797">
        <w:t>that</w:t>
      </w:r>
      <w:r>
        <w:t xml:space="preserve"> the slightly higher reasonability standard should apply.  What, then, of the application of the rules to these facts?  </w:t>
      </w:r>
      <w:r w:rsidR="00F57107">
        <w:t>Are either the holiday decoration or the garba</w:t>
      </w:r>
      <w:r w:rsidR="00387809">
        <w:t>g</w:t>
      </w:r>
      <w:r w:rsidR="00F57107">
        <w:t>e rules</w:t>
      </w:r>
      <w:r w:rsidR="00FB2615">
        <w:t xml:space="preserve"> aesthetic/design control regulation</w:t>
      </w:r>
      <w:r w:rsidR="00F57107">
        <w:t>s</w:t>
      </w:r>
      <w:r w:rsidR="00387809">
        <w:t>, which must be specifically provided for in the covenants</w:t>
      </w:r>
      <w:r w:rsidR="00FB2615">
        <w:t xml:space="preserve">?  </w:t>
      </w:r>
      <w:r w:rsidR="00F57107">
        <w:t>(It seems hard to argue that either are regulations of the structure or of the landscaping, which the Restatement’s design control provisions seem to focus on.)  Are these</w:t>
      </w:r>
      <w:r w:rsidR="00FB2615">
        <w:t xml:space="preserve"> regulation of the common areas as opposed to</w:t>
      </w:r>
      <w:r w:rsidR="00F57107">
        <w:t xml:space="preserve"> regulations of</w:t>
      </w:r>
      <w:r w:rsidR="00FB2615">
        <w:t xml:space="preserve"> the individual property of Lamb, because his door abuts a common area?  </w:t>
      </w:r>
    </w:p>
    <w:p w:rsidR="00FB2615" w:rsidRDefault="00FB2615" w:rsidP="001E0BBF"/>
    <w:p w:rsidR="00387809" w:rsidRDefault="00FB2615" w:rsidP="001E0BBF">
      <w:r>
        <w:t xml:space="preserve">It was important to address the two different rules: the display rule and the garbage rule.  Just because the display was ok under the holiday rule, or just because the holiday rule might be </w:t>
      </w:r>
      <w:r>
        <w:lastRenderedPageBreak/>
        <w:t xml:space="preserve">invalid, doesn’t mean the garbage rule is invalid.  </w:t>
      </w:r>
      <w:r w:rsidR="00C25E58">
        <w:t xml:space="preserve">Does the religious nature of the display matter?  Is there an unreasonable burden on a fundamental right?  </w:t>
      </w:r>
      <w:r w:rsidR="00095738">
        <w:t>Some people made very interesting arguments here: on the one hand, we know the board has allowed graphic crucifixions, sugges</w:t>
      </w:r>
      <w:r w:rsidR="00182FC4">
        <w:t>ting no bias against religion.  O</w:t>
      </w:r>
      <w:r w:rsidR="00095738">
        <w:t>n the other</w:t>
      </w:r>
      <w:r w:rsidR="00182FC4">
        <w:t xml:space="preserve"> hand</w:t>
      </w:r>
      <w:r w:rsidR="00095738">
        <w:t>, food-based displays are more common for other holidays, for example Halloween (pumpkins), and allowing the board the option to declare something that is clearly a holiday display to be garbage risks abusive enforcement</w:t>
      </w:r>
      <w:r w:rsidR="00A909FB">
        <w:t>—not religiously discriminatory, but still possibly arbitrary</w:t>
      </w:r>
      <w:r w:rsidR="00095738">
        <w:t>.</w:t>
      </w:r>
      <w:r w:rsidR="00F57107">
        <w:t xml:space="preserve">  </w:t>
      </w:r>
      <w:r w:rsidR="00387809">
        <w:t xml:space="preserve">The </w:t>
      </w:r>
      <w:r w:rsidR="00387809">
        <w:rPr>
          <w:i/>
        </w:rPr>
        <w:t xml:space="preserve">definition </w:t>
      </w:r>
      <w:r w:rsidR="00387809">
        <w:t>of garbage, in other words, might be too vague to allow for consistent enforcement, at least in circumstances like these, where the display is plainly deliberately affixed to the door.</w:t>
      </w:r>
      <w:r w:rsidR="003768E0">
        <w:t xml:space="preserve">  The problem, however, is the garbage regulation, not the holiday regulation, since Lamb wasn’t held to have violated the latter.  (If he has a right to display Peeps, would he have the right to display the</w:t>
      </w:r>
      <w:r w:rsidR="001764F7">
        <w:t xml:space="preserve"> rotting</w:t>
      </w:r>
      <w:r w:rsidR="003768E0">
        <w:t xml:space="preserve"> corpse of a rabbit in a crucifixion pose, after Damien Hirsh? </w:t>
      </w:r>
      <w:r w:rsidR="001764F7">
        <w:t xml:space="preserve"> As long as the association is regulating the display for nonreligious reasons, the effects on his religious expression are unlikely to be problematic even if they force him to channel his religious expression in less edible ways.)</w:t>
      </w:r>
    </w:p>
    <w:p w:rsidR="00387809" w:rsidRDefault="00387809" w:rsidP="001E0BBF"/>
    <w:p w:rsidR="00FB2615" w:rsidRDefault="001764F7" w:rsidP="001E0BBF">
      <w:r>
        <w:t>It</w:t>
      </w:r>
      <w:r w:rsidR="00F57107">
        <w:t xml:space="preserve"> was also important to say something about the specific facts here: we know that the dog went after the peeps, which suggests that the food was disruptive, though Lamb also had an argument that Mars was responsible for controlling her own dog—remember the classic point that every X-Y dispute can be characterized as X harming Y’s goals or as Y harming X’s goals.</w:t>
      </w:r>
      <w:r w:rsidR="00387809">
        <w:t xml:space="preserve">  (However, the board is not limited to controlling only things that are nuisances.  It can go farther, controlling activities that are just annoying, as long as it acts reasonably.)</w:t>
      </w:r>
    </w:p>
    <w:p w:rsidR="00FB2615" w:rsidRDefault="00FB2615" w:rsidP="001E0BBF"/>
    <w:p w:rsidR="00A64FC9" w:rsidRDefault="00387809" w:rsidP="001E0BBF">
      <w:r>
        <w:t xml:space="preserve">Finally: </w:t>
      </w:r>
      <w:r w:rsidR="00C25E58">
        <w:t>What about the potential bias of letting Mars sit in judgment on a neighbor with whom she’s had personal conflicts</w:t>
      </w:r>
      <w:r w:rsidR="00B2779D">
        <w:t>, such that the board is—unusually—divided and—unusually—rejects a holiday display when it’s allowed some arguably extreme ones in the past</w:t>
      </w:r>
      <w:r w:rsidR="00C25E58">
        <w:t>?</w:t>
      </w:r>
      <w:r w:rsidR="00B2779D">
        <w:t xml:space="preserve">  Or does the garbage rationale make a difference, in that none of the past displays included</w:t>
      </w:r>
      <w:r w:rsidR="00182FC4">
        <w:t xml:space="preserve"> food, providing a justification that trumps the potential personal issues behind Mars’s complaint?</w:t>
      </w:r>
    </w:p>
    <w:p w:rsidR="00A64FC9" w:rsidRDefault="00A64FC9" w:rsidP="001E0BBF"/>
    <w:p w:rsidR="001E0BBF" w:rsidRPr="00F86BFA" w:rsidRDefault="001E0BBF" w:rsidP="001E0BBF">
      <w:pPr>
        <w:rPr>
          <w:b/>
        </w:rPr>
      </w:pPr>
      <w:r w:rsidRPr="00F86BFA">
        <w:rPr>
          <w:b/>
        </w:rPr>
        <w:t>Question 6 (10 points): The Shrinking City</w:t>
      </w:r>
    </w:p>
    <w:p w:rsidR="001E0BBF" w:rsidRPr="00F86BFA" w:rsidRDefault="001E0BBF" w:rsidP="001E0BBF">
      <w:pPr>
        <w:rPr>
          <w:b/>
        </w:rPr>
      </w:pPr>
    </w:p>
    <w:p w:rsidR="001E0BBF" w:rsidRPr="00F86BFA" w:rsidRDefault="001E0BBF" w:rsidP="001E0BBF">
      <w:pPr>
        <w:rPr>
          <w:b/>
        </w:rPr>
      </w:pPr>
      <w:r w:rsidRPr="00F86BFA">
        <w:rPr>
          <w:b/>
        </w:rPr>
        <w:t>Assume, for purposes of this question, that there are no relevant federal statutes governing whether Disturbia can enact the laws at issue and that Disturbia has an enabling statute allowing municipalities to adopt land-use regulations.</w:t>
      </w:r>
    </w:p>
    <w:p w:rsidR="001E0BBF" w:rsidRPr="00F86BFA" w:rsidRDefault="001E0BBF" w:rsidP="001E0BBF">
      <w:pPr>
        <w:rPr>
          <w:b/>
        </w:rPr>
      </w:pPr>
    </w:p>
    <w:p w:rsidR="001E0BBF" w:rsidRPr="00F86BFA" w:rsidRDefault="001E0BBF" w:rsidP="001E0BBF">
      <w:pPr>
        <w:rPr>
          <w:b/>
        </w:rPr>
      </w:pPr>
      <w:r w:rsidRPr="00F86BFA">
        <w:rPr>
          <w:b/>
        </w:rPr>
        <w:t xml:space="preserve">The capital of Disturbia is a “shrinking city”—it has much more housing stock than it has inhabitants, many of whom took out mortgages during the recent boom and then defaulted on them as the economy collapsed and their mortgage rates reset.  Throughout the city, there are many abandoned houses.  Vandals often strip abandoned houses of fixtures, pipes, and wiring, making them uninhabitable without significant repairs.  Trash accumulates on the lots; some houses have been set on fire, while others have been turned </w:t>
      </w:r>
      <w:r w:rsidRPr="00F86BFA">
        <w:rPr>
          <w:b/>
        </w:rPr>
        <w:lastRenderedPageBreak/>
        <w:t xml:space="preserve">into drug dens.  Abandoned houses drag down the value of non-abandoned houses nearby, leading to further mortgage defaults and further abandonments.  </w:t>
      </w:r>
    </w:p>
    <w:p w:rsidR="001E0BBF" w:rsidRPr="00F86BFA" w:rsidRDefault="001E0BBF" w:rsidP="001E0BBF">
      <w:pPr>
        <w:rPr>
          <w:b/>
        </w:rPr>
      </w:pPr>
    </w:p>
    <w:p w:rsidR="001E0BBF" w:rsidRPr="00F86BFA" w:rsidRDefault="001E0BBF" w:rsidP="001E0BBF">
      <w:pPr>
        <w:rPr>
          <w:b/>
        </w:rPr>
      </w:pPr>
      <w:r w:rsidRPr="00F86BFA">
        <w:rPr>
          <w:b/>
        </w:rPr>
        <w:t>To combat this problem, Capital City has enacted a new zoning ordinance designed to shrink the city in a deliberate manner.  The city is divided into the “core”—an area that can accommodate the city’s current population at a standard urban density—and the “periphery”—the area outside the core.</w:t>
      </w:r>
    </w:p>
    <w:p w:rsidR="001E0BBF" w:rsidRPr="00F86BFA" w:rsidRDefault="001E0BBF" w:rsidP="001E0BBF">
      <w:pPr>
        <w:rPr>
          <w:b/>
        </w:rPr>
      </w:pPr>
    </w:p>
    <w:p w:rsidR="001E0BBF" w:rsidRPr="00F86BFA" w:rsidRDefault="001E0BBF" w:rsidP="001E0BBF">
      <w:pPr>
        <w:rPr>
          <w:b/>
        </w:rPr>
      </w:pPr>
      <w:r w:rsidRPr="00F86BFA">
        <w:rPr>
          <w:b/>
        </w:rPr>
        <w:t>In the periphery, any residential-zoned property that lacks a habitable structure (including those with structures that are or become uninhabitable, as determined by the housing authority in compliance with the housing code) for more than a month, and on which no repairs/construction are actively going on, will be downzoned to agricultural use.  Though agricultural uses sufficient to supply a household with fresh fruits and vegetables are often possible on the lots at issue, it is extremely unlikely that the produce could generate more than a nominal profit if sold on the market.  In addition, removing existing-but-uninhabitable structures can be expensive.</w:t>
      </w:r>
    </w:p>
    <w:p w:rsidR="001E0BBF" w:rsidRPr="00F86BFA" w:rsidRDefault="001E0BBF" w:rsidP="001E0BBF">
      <w:pPr>
        <w:rPr>
          <w:b/>
        </w:rPr>
      </w:pPr>
    </w:p>
    <w:p w:rsidR="001E0BBF" w:rsidRPr="00F86BFA" w:rsidRDefault="001E0BBF" w:rsidP="001E0BBF">
      <w:pPr>
        <w:rPr>
          <w:b/>
        </w:rPr>
      </w:pPr>
      <w:r w:rsidRPr="00F86BFA">
        <w:rPr>
          <w:b/>
        </w:rPr>
        <w:t xml:space="preserve">In cases where an owner of such a lot in the periphery can prove to the zoning board that the market value of the property exceeds the cost of building a habitable structure, or restoring an uninhabitable structure to habitability, Capital City will transfer to the owner a parcel of equivalent size in the core.  The city has a large stock of such parcels, zoned for residential use, because of tax delinquencies.  Most of these parcels are vacant, though some have abandoned, uninhabitable structures on them.  (The city will not take title to the owner’s initial land; it will simply transfer the additional parcel to the owner.)  The core land is nearly valueless in the present economy, and its present assessment reflects this fact, but if Capital City experiences an economic resurgence it could become extremely valuable.  </w:t>
      </w:r>
    </w:p>
    <w:p w:rsidR="001E0BBF" w:rsidRPr="00F86BFA" w:rsidRDefault="001E0BBF" w:rsidP="001E0BBF">
      <w:pPr>
        <w:rPr>
          <w:b/>
        </w:rPr>
      </w:pPr>
    </w:p>
    <w:p w:rsidR="001E0BBF" w:rsidRPr="00F86BFA" w:rsidRDefault="001E0BBF" w:rsidP="001E0BBF">
      <w:pPr>
        <w:rPr>
          <w:b/>
        </w:rPr>
      </w:pPr>
      <w:r w:rsidRPr="00F86BFA">
        <w:rPr>
          <w:b/>
        </w:rPr>
        <w:t>First National Bank of Disturbia, due to foreclosure, is now the record owner of 500 houses in the periphery of Capital City on parcels that have been downzoned because the houses have been deemed uninhabitable by the housing authority.  The zoning board has determined, based on the Bank’s submissions about the costs of construction/</w:t>
      </w:r>
      <w:r w:rsidR="00651B12">
        <w:rPr>
          <w:b/>
        </w:rPr>
        <w:t xml:space="preserve"> </w:t>
      </w:r>
      <w:r w:rsidRPr="00F86BFA">
        <w:rPr>
          <w:b/>
        </w:rPr>
        <w:t xml:space="preserve">reconstruction on the various parcels, that it is entitled to 100 parcels in the core.  In addition, the Bank has another 500 properties that, because they were abandoned by their former owners, are likely to become uninhabitable soon unless the Bank either spends substantial funds maintaining them or offers them at “fire sale” prices.  As to the second option, because of the real estate crisis, the Bank expects that it could only sell the houses at around 15-20% of their 2007 prices.  If not for the new rezoning, the Bank would prefer to hang on to the properties, defer maintenance, and wait for the market to recover.  The Bank contends that recovery is likely in the next three to five years; Capital City’s planners </w:t>
      </w:r>
      <w:r w:rsidRPr="00F86BFA">
        <w:rPr>
          <w:b/>
        </w:rPr>
        <w:lastRenderedPageBreak/>
        <w:t>have concluded that the peripheral neighborhoods are unlikely to recover in the next thirty years.</w:t>
      </w:r>
    </w:p>
    <w:p w:rsidR="001E0BBF" w:rsidRPr="00F86BFA" w:rsidRDefault="001E0BBF" w:rsidP="001E0BBF">
      <w:pPr>
        <w:rPr>
          <w:b/>
        </w:rPr>
      </w:pPr>
    </w:p>
    <w:p w:rsidR="001E0BBF" w:rsidRPr="00F86BFA" w:rsidRDefault="001E0BBF" w:rsidP="001E0BBF">
      <w:pPr>
        <w:rPr>
          <w:b/>
        </w:rPr>
      </w:pPr>
      <w:r w:rsidRPr="00F86BFA">
        <w:rPr>
          <w:b/>
        </w:rPr>
        <w:t>The Bank sues, arguing that a taking has occurred.  Identify the parties’ arguments and determine what the proper result should be.</w:t>
      </w:r>
    </w:p>
    <w:p w:rsidR="001E0BBF" w:rsidRDefault="001E0BBF"/>
    <w:p w:rsidR="00CC2C44" w:rsidRPr="00CC2C44" w:rsidRDefault="00CC2C44">
      <w:r>
        <w:t xml:space="preserve">Focusing on </w:t>
      </w:r>
      <w:r>
        <w:rPr>
          <w:i/>
        </w:rPr>
        <w:t>Kelo</w:t>
      </w:r>
      <w:r>
        <w:t xml:space="preserve"> and similar cases was not very helpful, since those concern the difference between takings for public use (allowed provided compensation is paid) and takings for private use (not allowed).  The city doesn’t want to have a taking found </w:t>
      </w:r>
      <w:r>
        <w:rPr>
          <w:i/>
        </w:rPr>
        <w:t>at all</w:t>
      </w:r>
      <w:r>
        <w:t>, so the fact that the zoning serves public goals doesn’t help it.</w:t>
      </w:r>
    </w:p>
    <w:p w:rsidR="00CC2C44" w:rsidRDefault="00CC2C44"/>
    <w:p w:rsidR="008E219A" w:rsidRPr="00CD7D9F" w:rsidRDefault="00182FC4">
      <w:r>
        <w:t>Regulatory takings analysis applied here, since the city was not taking title</w:t>
      </w:r>
      <w:r w:rsidR="008A623C">
        <w:t xml:space="preserve"> or working a physical invasion</w:t>
      </w:r>
      <w:r>
        <w:t xml:space="preserve">.  Key issues included whether there was a total taking of </w:t>
      </w:r>
      <w:r w:rsidR="005B0179">
        <w:t>value</w:t>
      </w:r>
      <w:r>
        <w:t xml:space="preserve">.  The land might have only minimal economic value when used for agricultural purposes, but it seems to be suited for agricultural purposes and thus there was some productive use possible.  </w:t>
      </w:r>
      <w:r w:rsidR="00F61387">
        <w:t xml:space="preserve">Productive use and profitable use might not be the same thing; </w:t>
      </w:r>
      <w:r w:rsidR="008A623C">
        <w:t xml:space="preserve">agricultural use is a classic use of land, and </w:t>
      </w:r>
      <w:r w:rsidR="00F61387">
        <w:t xml:space="preserve">it’s not the government’s fault if your </w:t>
      </w:r>
      <w:r w:rsidR="008A623C">
        <w:t xml:space="preserve">agricultural </w:t>
      </w:r>
      <w:r w:rsidR="00F61387">
        <w:t>business doesn’t thrive</w:t>
      </w:r>
      <w:r w:rsidR="008A623C">
        <w:t>.  B</w:t>
      </w:r>
      <w:r w:rsidR="00F61387">
        <w:t xml:space="preserve">ut on the other hand, if it’s obvious that there’s barely a market for the use allowed by a regulation, maybe that’s enough to trigger </w:t>
      </w:r>
      <w:r w:rsidR="00F61387">
        <w:rPr>
          <w:i/>
        </w:rPr>
        <w:t>Lucas.</w:t>
      </w:r>
      <w:r w:rsidR="008E219A">
        <w:t xml:space="preserve">  </w:t>
      </w:r>
      <w:r w:rsidR="00CD7D9F">
        <w:t xml:space="preserve">One also should possibly take into account that the current use of the land is not worth very much—the </w:t>
      </w:r>
      <w:r w:rsidR="00EB0571">
        <w:t>properties</w:t>
      </w:r>
      <w:r w:rsidR="00CD7D9F">
        <w:t xml:space="preserve"> affected by the regulation </w:t>
      </w:r>
      <w:r w:rsidR="00EB0571">
        <w:t>lack habitable structures</w:t>
      </w:r>
      <w:r w:rsidR="00CD7D9F">
        <w:t xml:space="preserve"> and there doesn’t seem to be much of a market for them.  So does going from being worth very little to being worth </w:t>
      </w:r>
      <w:r w:rsidR="00CD7D9F">
        <w:rPr>
          <w:i/>
        </w:rPr>
        <w:t>extremely</w:t>
      </w:r>
      <w:r w:rsidR="00CD7D9F">
        <w:t xml:space="preserve"> little make enough of an impact to count as a taking?</w:t>
      </w:r>
    </w:p>
    <w:p w:rsidR="008E219A" w:rsidRDefault="008E219A"/>
    <w:p w:rsidR="00F61387" w:rsidRPr="008E219A" w:rsidRDefault="00CD7D9F">
      <w:r>
        <w:t>These</w:t>
      </w:r>
      <w:r w:rsidR="008E219A">
        <w:t xml:space="preserve"> </w:t>
      </w:r>
      <w:r w:rsidR="009575B0">
        <w:t>question</w:t>
      </w:r>
      <w:r>
        <w:t xml:space="preserve">s are all </w:t>
      </w:r>
      <w:r w:rsidR="008E219A">
        <w:t xml:space="preserve">related to the difference between </w:t>
      </w:r>
      <w:r w:rsidR="008E219A">
        <w:rPr>
          <w:i/>
        </w:rPr>
        <w:t>value</w:t>
      </w:r>
      <w:r w:rsidR="008E219A">
        <w:t xml:space="preserve"> (as assessed in the marketplace) and </w:t>
      </w:r>
      <w:r w:rsidR="008E219A">
        <w:rPr>
          <w:i/>
        </w:rPr>
        <w:t>legal right</w:t>
      </w:r>
      <w:r w:rsidR="008E219A">
        <w:t xml:space="preserve"> around which people organize their expectations and relations; it’s perfectly possible to have an economically worthless legal right (and even to have a use that is economically valuable to you but to which you have no legal right: that is one way to describe a nuisance!).  Distinct investment-backed expectations under </w:t>
      </w:r>
      <w:r w:rsidR="008E219A">
        <w:rPr>
          <w:i/>
        </w:rPr>
        <w:t>Penn Central</w:t>
      </w:r>
      <w:r w:rsidR="008E219A">
        <w:t xml:space="preserve"> might partake of some aspects of value and others of legal right.  It might be sufficient for a taking if the government destroyed a </w:t>
      </w:r>
      <w:r w:rsidR="008E219A">
        <w:rPr>
          <w:i/>
        </w:rPr>
        <w:t>legal right</w:t>
      </w:r>
      <w:r w:rsidR="008E219A">
        <w:t xml:space="preserve"> (as in the </w:t>
      </w:r>
      <w:r w:rsidR="008E219A">
        <w:rPr>
          <w:i/>
        </w:rPr>
        <w:t>Penn</w:t>
      </w:r>
      <w:r w:rsidR="008569F6">
        <w:rPr>
          <w:i/>
        </w:rPr>
        <w:t>sylvania</w:t>
      </w:r>
      <w:r w:rsidR="008E219A">
        <w:rPr>
          <w:i/>
        </w:rPr>
        <w:t xml:space="preserve"> Coal</w:t>
      </w:r>
      <w:r w:rsidR="008E219A">
        <w:t xml:space="preserve"> case), even if it’s one with minimal current economic value (though this would of course affect the amount of just compensation awarded).  </w:t>
      </w:r>
    </w:p>
    <w:p w:rsidR="00F61387" w:rsidRDefault="00F61387"/>
    <w:p w:rsidR="00EB0571" w:rsidRDefault="00182FC4">
      <w:r>
        <w:t xml:space="preserve">If there was only a diminution in value, the question was whether that was </w:t>
      </w:r>
      <w:r w:rsidR="00B26880">
        <w:t>sufficient to count as a taking.  Does the regulation “go too far”</w:t>
      </w:r>
      <w:r w:rsidR="008A623C">
        <w:t xml:space="preserve"> under </w:t>
      </w:r>
      <w:r w:rsidR="008A623C">
        <w:rPr>
          <w:i/>
        </w:rPr>
        <w:t>Penn Central</w:t>
      </w:r>
      <w:r w:rsidR="008A623C">
        <w:t xml:space="preserve"> and </w:t>
      </w:r>
      <w:r w:rsidR="008A623C">
        <w:rPr>
          <w:i/>
        </w:rPr>
        <w:t>Penn. Coal</w:t>
      </w:r>
      <w:r w:rsidR="00B26880">
        <w:t xml:space="preserve">?  Did it interfere with distinct investment-backed expectations to use the property as residential?   </w:t>
      </w:r>
      <w:r w:rsidR="007C2DB4">
        <w:t>T</w:t>
      </w:r>
      <w:r w:rsidR="001A0A9E">
        <w:t>he ability to put land to residential use might be a DIBE,</w:t>
      </w:r>
      <w:r w:rsidR="007C2DB4">
        <w:t xml:space="preserve"> given that people including mortgage banks structured their relations around residential uses,</w:t>
      </w:r>
      <w:r w:rsidR="001A0A9E">
        <w:t xml:space="preserve"> even if the property currently has very little market value.  This is the flip side of the argument that the city isn’t responsible for the </w:t>
      </w:r>
      <w:r w:rsidR="001A0A9E">
        <w:rPr>
          <w:i/>
        </w:rPr>
        <w:t xml:space="preserve">profitability </w:t>
      </w:r>
      <w:r w:rsidR="001A0A9E">
        <w:t xml:space="preserve">of a productive use such as agricultural use—the market crash arguably shows only that the investment went bad, not that it wasn’t a distinct investment-backed expectation.  </w:t>
      </w:r>
      <w:r w:rsidR="007C2DB4">
        <w:t xml:space="preserve">The </w:t>
      </w:r>
      <w:r w:rsidR="007C2DB4">
        <w:lastRenderedPageBreak/>
        <w:t xml:space="preserve">government swooping in now to make sure that the property can’t recover its residential value is not the same as the operation of the market.  </w:t>
      </w:r>
    </w:p>
    <w:p w:rsidR="00EB0571" w:rsidRDefault="00EB0571"/>
    <w:p w:rsidR="008A623C" w:rsidRDefault="00B26880">
      <w:r>
        <w:t>(Some people suggested that one ought to weigh the possibility of rezoning, when economic conditions improved—the agricultural zoning seems to be a stopgap measure</w:t>
      </w:r>
      <w:r w:rsidR="008A623C">
        <w:t>, so maybe the Bank’s expectations aren’t totally frustrated if it hangs on to the land long enough</w:t>
      </w:r>
      <w:r w:rsidR="001A0A9E">
        <w:t>.  O</w:t>
      </w:r>
      <w:r w:rsidR="008A623C">
        <w:t>n the other hand, perhaps we shouldn’t force the Bank to hope for the planners to agree with it in 3-5 years</w:t>
      </w:r>
      <w:r w:rsidR="001A0A9E">
        <w:t>; if we allowed for</w:t>
      </w:r>
      <w:r w:rsidR="00B87264">
        <w:t xml:space="preserve"> the possibility of a</w:t>
      </w:r>
      <w:r w:rsidR="001A0A9E">
        <w:t xml:space="preserve"> reversal of a past decision to factor in, almost nothing might qualify as a regulatory taking</w:t>
      </w:r>
      <w:r>
        <w:t>.</w:t>
      </w:r>
      <w:r w:rsidR="00B87264">
        <w:t xml:space="preserve">  In practice, there is an extensive set of doctrines about the finality of a decision and the possibility of “temporary takings” that has developed around these sorts of questions, but you were not expected to know them.</w:t>
      </w:r>
      <w:r>
        <w:t xml:space="preserve">)  </w:t>
      </w:r>
    </w:p>
    <w:p w:rsidR="008A623C" w:rsidRDefault="008A623C"/>
    <w:p w:rsidR="00B26880" w:rsidRPr="008A623C" w:rsidRDefault="000A2B35">
      <w:r>
        <w:t>Whether the regulation went too far can also be argued</w:t>
      </w:r>
      <w:r w:rsidR="008A623C">
        <w:t>, rather creatively,</w:t>
      </w:r>
      <w:r>
        <w:t xml:space="preserve"> as a matter of nexus: since the regulation did not require the removal of uninhabitable structures, it would not necessarily stop the nuisance-causing qualities of such structures, though it would promote migration to the core of the city.</w:t>
      </w:r>
      <w:r w:rsidR="008A623C">
        <w:t xml:space="preserve">  Under </w:t>
      </w:r>
      <w:r w:rsidR="008A623C">
        <w:rPr>
          <w:i/>
        </w:rPr>
        <w:t>Nollan/Dolan</w:t>
      </w:r>
      <w:r w:rsidR="008A623C">
        <w:t xml:space="preserve">, this isn’t a classic exaction—nothing is required to be given to the government or to the public in return for some other benefit—and courts have refused to extend the holdings of those cases beyond classic exactions.  But you could factor the likelihood that the regulation would work to abate the nuisance-like conditions into your assessment of the “character of the regulation” under </w:t>
      </w:r>
      <w:r w:rsidR="008A623C">
        <w:rPr>
          <w:i/>
        </w:rPr>
        <w:t>Penn Central</w:t>
      </w:r>
      <w:r w:rsidR="008A623C">
        <w:t>.</w:t>
      </w:r>
    </w:p>
    <w:p w:rsidR="00B26880" w:rsidRDefault="00B26880"/>
    <w:p w:rsidR="005B0179" w:rsidRDefault="005B0179">
      <w:r>
        <w:t>What about abating a nuisance as a complete defense to a takings claim?  Have all of the affected properties been shown to be causing a nuisance according to the common law of the 19</w:t>
      </w:r>
      <w:r w:rsidRPr="005B0179">
        <w:rPr>
          <w:vertAlign w:val="superscript"/>
        </w:rPr>
        <w:t>th</w:t>
      </w:r>
      <w:r>
        <w:t xml:space="preserve"> century, as </w:t>
      </w:r>
      <w:r>
        <w:rPr>
          <w:i/>
        </w:rPr>
        <w:t>Lucas</w:t>
      </w:r>
      <w:r>
        <w:t xml:space="preserve"> suggests is required?  These houses are certainly at risk of becoming nuisances; is any more required?  (Under </w:t>
      </w:r>
      <w:r>
        <w:rPr>
          <w:i/>
        </w:rPr>
        <w:t>Lucas</w:t>
      </w:r>
      <w:r>
        <w:t>, probably yes—but if there’s not a total loss of value, then nuisance-</w:t>
      </w:r>
      <w:r w:rsidRPr="00EB0571">
        <w:t>like</w:t>
      </w:r>
      <w:r>
        <w:t xml:space="preserve"> </w:t>
      </w:r>
      <w:r w:rsidR="00EB0571">
        <w:t xml:space="preserve">or nuisance-generating </w:t>
      </w:r>
      <w:r>
        <w:t>conditions may be highly relevant to whether the regulation goes “too far.”)</w:t>
      </w:r>
      <w:r>
        <w:rPr>
          <w:i/>
        </w:rPr>
        <w:t xml:space="preserve"> </w:t>
      </w:r>
      <w:r w:rsidR="00EB0571">
        <w:t xml:space="preserve"> </w:t>
      </w:r>
    </w:p>
    <w:p w:rsidR="00EB0571" w:rsidRDefault="00EB0571"/>
    <w:p w:rsidR="00EB0571" w:rsidRPr="00EB0571" w:rsidRDefault="00EB0571">
      <w:r>
        <w:t xml:space="preserve">Some people suggested that the nuisance question also turned on whether the bank was at fault for causing the nuisance.  As an initial matter, this is unlikely—nuisance itself is not a matter of fault but of harm; consider the meaning of “intentional” in nuisance, which simply means intending to do the thing that causes the nuisance, even if the actor doesn’t want the nuisance to occur.  The bank intends to let the properties sit vacant and unmaintained until the market recovers; this is sufficient for intention even if the bank didn’t itself abandon the properties.  Nor do the </w:t>
      </w:r>
      <w:r>
        <w:rPr>
          <w:i/>
        </w:rPr>
        <w:t>Hadacheck</w:t>
      </w:r>
      <w:r>
        <w:t xml:space="preserve"> or </w:t>
      </w:r>
      <w:r>
        <w:rPr>
          <w:i/>
        </w:rPr>
        <w:t>Lucas</w:t>
      </w:r>
      <w:r>
        <w:t xml:space="preserve"> cases consider fault (was it Hadacheck’s fault that Los Angeles expanded so that his brick factory suddenly had residential neighbors as to whom the factory was a nuisance?).  If you did want to argue that </w:t>
      </w:r>
      <w:r>
        <w:rPr>
          <w:i/>
        </w:rPr>
        <w:t>Lucas</w:t>
      </w:r>
      <w:r>
        <w:t xml:space="preserve"> and </w:t>
      </w:r>
      <w:r>
        <w:rPr>
          <w:i/>
        </w:rPr>
        <w:t>Hadacheck</w:t>
      </w:r>
      <w:r>
        <w:t xml:space="preserve"> shouldn’t apply when someone else bore the primary responsibility for causing the nuisance, you needed to at least gesture at the problem that, if the properties are in fact nuisances, then the bank is the owner and that usually ownership + nuisance = no taking.</w:t>
      </w:r>
    </w:p>
    <w:p w:rsidR="005B0179" w:rsidRDefault="005B0179"/>
    <w:p w:rsidR="00182FC4" w:rsidRDefault="00B26880">
      <w:r>
        <w:t>Good answers</w:t>
      </w:r>
      <w:r w:rsidR="005B0179">
        <w:t xml:space="preserve"> also</w:t>
      </w:r>
      <w:r>
        <w:t xml:space="preserve"> noted that the conditions of the properties at issue varied.  </w:t>
      </w:r>
      <w:r w:rsidR="007547FD">
        <w:t>Some were not yet uninhabitable, but at risk</w:t>
      </w:r>
      <w:r w:rsidR="00EB0571">
        <w:t xml:space="preserve"> of becoming so</w:t>
      </w:r>
      <w:r w:rsidR="007547FD">
        <w:t>; should the analysis differ?  Also, it was useful to recognize that the test for whether the owner got a core parcel—whether the market value was greater than the cost of repair/building a habitable structure—was also a measure of whether the land had positive market value.  That is, since people can’t live in an uninhabitable structure, the land would only have a value above zero for residential use if it would be worth it to repair or build a habitable structure.  In such cases, the owner would get a core parcel instead of the right to repair/build.  If the owner didn’t get a core parcel, that was an indication that the land’s value was already zero or negative, and it’s hard to go below that.  T</w:t>
      </w:r>
      <w:r>
        <w:t xml:space="preserve">he role of </w:t>
      </w:r>
      <w:r w:rsidR="00182FC4">
        <w:t>the core parcels</w:t>
      </w:r>
      <w:r>
        <w:t xml:space="preserve"> given to the bank </w:t>
      </w:r>
      <w:r w:rsidR="007547FD">
        <w:t xml:space="preserve">should be considered; they are </w:t>
      </w:r>
      <w:r w:rsidR="00182FC4">
        <w:t xml:space="preserve">somewhat like the transferable development rights the Supreme Court gave weight to in the </w:t>
      </w:r>
      <w:r w:rsidR="00182FC4">
        <w:rPr>
          <w:i/>
        </w:rPr>
        <w:t xml:space="preserve">Penn </w:t>
      </w:r>
      <w:r w:rsidR="008E6D99">
        <w:rPr>
          <w:i/>
        </w:rPr>
        <w:t>Central</w:t>
      </w:r>
      <w:bookmarkStart w:id="0" w:name="_GoBack"/>
      <w:bookmarkEnd w:id="0"/>
      <w:r w:rsidR="00182FC4">
        <w:t xml:space="preserve"> case</w:t>
      </w:r>
      <w:r w:rsidR="007547FD">
        <w:t>, but they are also of uncertain economic value, minimal at present, and so perhaps they don’t change matters</w:t>
      </w:r>
      <w:r w:rsidR="00182FC4">
        <w:t>.</w:t>
      </w:r>
    </w:p>
    <w:p w:rsidR="005B0179" w:rsidRDefault="005B0179"/>
    <w:p w:rsidR="005B0179" w:rsidRPr="00182FC4" w:rsidRDefault="005B0179">
      <w:r>
        <w:t>Some people argued that the nonconforming use cases were relevant.  This didn’t make much headway, as the downzoning only applied when the land lacked a habitable structure—that is, when there was no existing lawful residential use.  As the casebook noted, discontinuing a nonconforming use generally forfeits one’s right to that use.</w:t>
      </w:r>
      <w:r w:rsidR="00EB0571">
        <w:t xml:space="preserve">  Truly vacant lots, as opposed to lots with uninhabitable, deteriorated structures on them, could in the past have been converted to residential uses and now they can’t be; but those lots aren’t nonconforming, they’re just not in use, which isn’t really the same thing—standard takings analysis applies to whether banning development of those lots is a taking.</w:t>
      </w:r>
    </w:p>
    <w:p w:rsidR="001E0BBF" w:rsidRDefault="001E0BBF"/>
    <w:p w:rsidR="001E0BBF" w:rsidRPr="005F7114" w:rsidRDefault="001E0BBF" w:rsidP="001E0BBF">
      <w:pPr>
        <w:rPr>
          <w:b/>
        </w:rPr>
      </w:pPr>
      <w:r w:rsidRPr="005F7114">
        <w:rPr>
          <w:b/>
        </w:rPr>
        <w:t>Question 7</w:t>
      </w:r>
      <w:r w:rsidR="005A3997" w:rsidRPr="005F7114">
        <w:rPr>
          <w:b/>
        </w:rPr>
        <w:t xml:space="preserve"> (15</w:t>
      </w:r>
      <w:r w:rsidRPr="005F7114">
        <w:rPr>
          <w:b/>
        </w:rPr>
        <w:t xml:space="preserve"> points): The Party Pit</w:t>
      </w:r>
    </w:p>
    <w:p w:rsidR="001E0BBF" w:rsidRPr="005F7114" w:rsidRDefault="001E0BBF" w:rsidP="001E0BBF">
      <w:pPr>
        <w:rPr>
          <w:b/>
        </w:rPr>
      </w:pPr>
    </w:p>
    <w:p w:rsidR="001E0BBF" w:rsidRPr="005F7114" w:rsidRDefault="001E0BBF" w:rsidP="001E0BBF">
      <w:pPr>
        <w:rPr>
          <w:b/>
        </w:rPr>
      </w:pPr>
      <w:r w:rsidRPr="005F7114">
        <w:rPr>
          <w:b/>
        </w:rPr>
        <w:t xml:space="preserve">Dissatisfied with his college dorm, Logan Echolls moved into an unoccupied house just outside his campus.  Record title in the house was in Nathan Petrelli, who was living in Washington, DC as the junior Senator from Disturbia.  Echolls did not contact Petrelli.  Echolls invited four friends to live with him in return for each paying one-quarter of the monthly utilities.  Echolls and his friends did not take particularly good care of the property.  When </w:t>
      </w:r>
      <w:r w:rsidR="00995173" w:rsidRPr="005F7114">
        <w:rPr>
          <w:b/>
        </w:rPr>
        <w:t>Bree van de Kamp, one of the next-door</w:t>
      </w:r>
      <w:r w:rsidRPr="005F7114">
        <w:rPr>
          <w:b/>
        </w:rPr>
        <w:t xml:space="preserve"> neighbor</w:t>
      </w:r>
      <w:r w:rsidR="00995173" w:rsidRPr="005F7114">
        <w:rPr>
          <w:b/>
        </w:rPr>
        <w:t>s,</w:t>
      </w:r>
      <w:r w:rsidRPr="005F7114">
        <w:rPr>
          <w:b/>
        </w:rPr>
        <w:t xml:space="preserve"> complained about the unmowed grass and trash out front and its effects on others’ property values, Echolls told </w:t>
      </w:r>
      <w:r w:rsidR="00995173" w:rsidRPr="005F7114">
        <w:rPr>
          <w:b/>
        </w:rPr>
        <w:t>her</w:t>
      </w:r>
      <w:r w:rsidRPr="005F7114">
        <w:rPr>
          <w:b/>
        </w:rPr>
        <w:t>, “I don’t care.  This isn’t even my house.”</w:t>
      </w:r>
      <w:r w:rsidR="005F7114" w:rsidRPr="005F7114">
        <w:rPr>
          <w:b/>
        </w:rPr>
        <w:t xml:space="preserve"> </w:t>
      </w:r>
      <w:r w:rsidRPr="005F7114">
        <w:rPr>
          <w:b/>
        </w:rPr>
        <w:t xml:space="preserve">A year after Echolls moved in, </w:t>
      </w:r>
      <w:r w:rsidR="00995173" w:rsidRPr="005F7114">
        <w:rPr>
          <w:b/>
        </w:rPr>
        <w:t>a frustrated van de Kamp</w:t>
      </w:r>
      <w:r w:rsidRPr="005F7114">
        <w:rPr>
          <w:b/>
        </w:rPr>
        <w:t xml:space="preserve"> began picking up the trash and mowing the lawn </w:t>
      </w:r>
      <w:r w:rsidR="00995173" w:rsidRPr="005F7114">
        <w:rPr>
          <w:b/>
        </w:rPr>
        <w:t>herself</w:t>
      </w:r>
      <w:r w:rsidRPr="005F7114">
        <w:rPr>
          <w:b/>
        </w:rPr>
        <w:t>.  Echolls didn’t object.</w:t>
      </w:r>
      <w:r w:rsidR="005F7114" w:rsidRPr="005F7114">
        <w:rPr>
          <w:b/>
        </w:rPr>
        <w:t xml:space="preserve"> </w:t>
      </w:r>
      <w:r w:rsidRPr="005F7114">
        <w:rPr>
          <w:b/>
        </w:rPr>
        <w:t>Three years after Echolls moved in, he came home to find a notice of tax deficiency affixed to the door.  He called the sheriff, who told him that taxes hadn’t been paid on the property in over four years.  “It’s not my house,” he told the sheriff, “but I want to stay.  What should I do?”</w:t>
      </w:r>
      <w:r w:rsidR="005F7114" w:rsidRPr="005F7114">
        <w:rPr>
          <w:b/>
        </w:rPr>
        <w:t xml:space="preserve">  </w:t>
      </w:r>
      <w:r w:rsidRPr="005F7114">
        <w:rPr>
          <w:b/>
        </w:rPr>
        <w:t>“I’m not a lawyer and I can’t tell you what to do,” the sheriff replied.  “I can tell you that if somebody doesn’t pay the back taxes, we’re going to sell the house and you’ll have to leave.”</w:t>
      </w:r>
      <w:r w:rsidR="005F7114" w:rsidRPr="005F7114">
        <w:rPr>
          <w:b/>
        </w:rPr>
        <w:t xml:space="preserve"> </w:t>
      </w:r>
      <w:r w:rsidRPr="005F7114">
        <w:rPr>
          <w:b/>
        </w:rPr>
        <w:t xml:space="preserve">Echolls told his friends that they’d need to pay one-fifth of the </w:t>
      </w:r>
      <w:r w:rsidRPr="005F7114">
        <w:rPr>
          <w:b/>
        </w:rPr>
        <w:lastRenderedPageBreak/>
        <w:t>back taxes in order to stay, which they did; he contributed the remaining amount, and they sent a check to the tax assessor.  Subsequently, when tax bills arrived at the house addressed to “occupant,” Echolls paid them and added the amount to his friends’ one-fourth monthly share of the utilities, which they paid.</w:t>
      </w:r>
      <w:r w:rsidR="005F7114" w:rsidRPr="005F7114">
        <w:rPr>
          <w:b/>
        </w:rPr>
        <w:t xml:space="preserve">  </w:t>
      </w:r>
      <w:r w:rsidRPr="005F7114">
        <w:rPr>
          <w:b/>
        </w:rPr>
        <w:t xml:space="preserve">Four years after Echolls moved in, </w:t>
      </w:r>
      <w:r w:rsidR="00995173" w:rsidRPr="005F7114">
        <w:rPr>
          <w:b/>
        </w:rPr>
        <w:t>van de Kamp</w:t>
      </w:r>
      <w:r w:rsidRPr="005F7114">
        <w:rPr>
          <w:b/>
        </w:rPr>
        <w:t xml:space="preserve"> built a shack in the back yard of the Petrelli house </w:t>
      </w:r>
      <w:r w:rsidR="00995173" w:rsidRPr="005F7114">
        <w:rPr>
          <w:b/>
        </w:rPr>
        <w:t>that she used for storage</w:t>
      </w:r>
      <w:r w:rsidRPr="005F7114">
        <w:rPr>
          <w:b/>
        </w:rPr>
        <w:t xml:space="preserve">.  When Echolls complained that the shack had disrupted the “Party Pit” out back, </w:t>
      </w:r>
      <w:r w:rsidR="00995173" w:rsidRPr="005F7114">
        <w:rPr>
          <w:b/>
        </w:rPr>
        <w:t>van de Kamp</w:t>
      </w:r>
      <w:r w:rsidRPr="005F7114">
        <w:rPr>
          <w:b/>
        </w:rPr>
        <w:t xml:space="preserve"> replied that Echolls wasn’t the owner of the land.  “Good point,” Echolls replied, and subsequently did nothing to interfere with </w:t>
      </w:r>
      <w:r w:rsidR="00995173" w:rsidRPr="005F7114">
        <w:rPr>
          <w:b/>
        </w:rPr>
        <w:t>van de Kamp’s</w:t>
      </w:r>
      <w:r w:rsidRPr="005F7114">
        <w:rPr>
          <w:b/>
        </w:rPr>
        <w:t xml:space="preserve"> use of the shack.</w:t>
      </w:r>
      <w:r w:rsidR="005F7114" w:rsidRPr="005F7114">
        <w:rPr>
          <w:b/>
        </w:rPr>
        <w:t xml:space="preserve"> </w:t>
      </w:r>
      <w:r w:rsidR="00995173" w:rsidRPr="005F7114">
        <w:rPr>
          <w:b/>
        </w:rPr>
        <w:t>Nine</w:t>
      </w:r>
      <w:r w:rsidRPr="005F7114">
        <w:rPr>
          <w:b/>
        </w:rPr>
        <w:t xml:space="preserve"> years after Echolls moved in, Petrelli returned to Disturbia.  He sued for ejectment.  Disturbia’s statutory period for adverse possession is seven years.  By some bizarre happenstance, Disturbia has absolutely no case law interpreting the requirements for adverse possession.  </w:t>
      </w:r>
    </w:p>
    <w:p w:rsidR="001E0BBF" w:rsidRPr="005F7114" w:rsidRDefault="001E0BBF" w:rsidP="001E0BBF">
      <w:pPr>
        <w:rPr>
          <w:b/>
        </w:rPr>
      </w:pPr>
    </w:p>
    <w:p w:rsidR="00C06CA6" w:rsidRPr="005F7114" w:rsidRDefault="001E0BBF">
      <w:pPr>
        <w:rPr>
          <w:b/>
        </w:rPr>
      </w:pPr>
      <w:r w:rsidRPr="005F7114">
        <w:rPr>
          <w:b/>
        </w:rPr>
        <w:t>Who owns what interest in the property?</w:t>
      </w:r>
    </w:p>
    <w:p w:rsidR="001E0BBF" w:rsidRDefault="001E0BBF"/>
    <w:p w:rsidR="003A1009" w:rsidRDefault="003A1009">
      <w:r>
        <w:t>Note: This seems to have been the hardest question, perhaps because it has some significant issue-spotting elements; if you didn’t consider the possibility of landlord/tenant versus coownership relations as between Echolls and his friends and the possibility that van de Kamp had an easement or two, you could only get partial credit.</w:t>
      </w:r>
    </w:p>
    <w:p w:rsidR="003A1009" w:rsidRDefault="003A1009"/>
    <w:p w:rsidR="00934EA0" w:rsidRDefault="005F7114">
      <w:r>
        <w:t>(</w:t>
      </w:r>
      <w:r w:rsidR="00934EA0">
        <w:t>7</w:t>
      </w:r>
      <w:r>
        <w:t xml:space="preserve"> points) Has Echolls satisfied the elements of adverse possession?  </w:t>
      </w:r>
      <w:r w:rsidR="00934EA0">
        <w:t>(</w:t>
      </w:r>
      <w:r w:rsidR="00B70F55">
        <w:t>Actual entry with exclusive possession; o</w:t>
      </w:r>
      <w:r w:rsidR="00934EA0">
        <w:t xml:space="preserve">pen and notorious; hostile/adverse and under claim of right; </w:t>
      </w:r>
      <w:r w:rsidR="00B70F55">
        <w:t>continuous; for the statutory period.)</w:t>
      </w:r>
    </w:p>
    <w:p w:rsidR="00934EA0" w:rsidRDefault="00934EA0"/>
    <w:p w:rsidR="00D73357" w:rsidRPr="00D73357" w:rsidRDefault="005F7114">
      <w:r>
        <w:t xml:space="preserve">Note that </w:t>
      </w:r>
      <w:r w:rsidR="00B70F55">
        <w:t>Echoll and friends have</w:t>
      </w:r>
      <w:r>
        <w:t xml:space="preserve"> paid all the ta</w:t>
      </w:r>
      <w:r w:rsidR="00B70F55">
        <w:t>xes due, including back taxes.  P</w:t>
      </w:r>
      <w:r>
        <w:t>aying them late is still paying them</w:t>
      </w:r>
      <w:r w:rsidR="0004653B">
        <w:t>, especially when we are deciding between Petrelli the deadbeat and Echolls the taxpayer, however reluctant</w:t>
      </w:r>
      <w:r>
        <w:t>.</w:t>
      </w:r>
      <w:r w:rsidR="0004653B">
        <w:t xml:space="preserve">  </w:t>
      </w:r>
      <w:r w:rsidR="00D73357">
        <w:t xml:space="preserve">Some people suggested that Echolls didn’t meet the “exclusive possession” elements because he let his friends/van de Kamp/fellow partiers onto the property, but this is a misreading of exclusive possession.  True owners have the right to exclude and the corresponding right to include: if I give you permission to come into my house, whether as a tenant or as a visitor, I am asserting my right to exclusive possession because I am taking the position that it is </w:t>
      </w:r>
      <w:r w:rsidR="00D73357">
        <w:rPr>
          <w:i/>
        </w:rPr>
        <w:t>my decision</w:t>
      </w:r>
      <w:r w:rsidR="00D73357">
        <w:t xml:space="preserve"> whether or not you can enter.  (But I did accept the argument that Echolls didn’t assert exclusive possession over the yard and the Party Pit, given how he reacted to van de Kamp’s behavior.)</w:t>
      </w:r>
      <w:r w:rsidR="001214B1">
        <w:t xml:space="preserve">  Likewise, Echolls didn’t behave like a </w:t>
      </w:r>
      <w:r w:rsidR="001214B1" w:rsidRPr="003311B2">
        <w:rPr>
          <w:i/>
        </w:rPr>
        <w:t>good</w:t>
      </w:r>
      <w:r w:rsidR="001214B1">
        <w:t xml:space="preserve"> property owner, but property ownership doesn’t generally require you to mow the lawn or pick up trash</w:t>
      </w:r>
      <w:r w:rsidR="003311B2">
        <w:t>. H</w:t>
      </w:r>
      <w:r w:rsidR="001214B1">
        <w:t>e was in actual possession</w:t>
      </w:r>
      <w:r w:rsidR="004A4F90">
        <w:t>, and that possession was open and notorious—telling the sheriff is about as open and notorious as it gets.  It was also continuous for longer than the statutory period on the facts given.</w:t>
      </w:r>
    </w:p>
    <w:p w:rsidR="00D73357" w:rsidRDefault="00D73357"/>
    <w:p w:rsidR="0004653B" w:rsidRDefault="0004653B">
      <w:r>
        <w:t xml:space="preserve">The key question was whether Echolls’ repeated disavowal of any ownership interest defeated an adverse possession claim.  The objective standard, which most commentators think is the best, </w:t>
      </w:r>
      <w:r>
        <w:lastRenderedPageBreak/>
        <w:t xml:space="preserve">doesn’t require any particular mental state with respect to ownership, whereas good faith requires people to think that they are owners and bad faith requires people to think that they </w:t>
      </w:r>
      <w:r>
        <w:rPr>
          <w:i/>
        </w:rPr>
        <w:t>aren’t</w:t>
      </w:r>
      <w:r>
        <w:t xml:space="preserve"> (but requires them to intend to become owners).  If you adopt the objective standard, </w:t>
      </w:r>
      <w:r w:rsidR="00333086">
        <w:t xml:space="preserve">however, you could also quite reasonably interpret that standard as requiring an intent to act </w:t>
      </w:r>
      <w:r w:rsidR="00333086">
        <w:rPr>
          <w:i/>
        </w:rPr>
        <w:t>as the owner</w:t>
      </w:r>
      <w:r w:rsidR="00333086">
        <w:t xml:space="preserve"> (whether out of a good faith mistake or out of a bad faith intent to adversely possess), which would mean that Echolls fails even the objective standard.  I gave credit for defending any interpretation.</w:t>
      </w:r>
    </w:p>
    <w:p w:rsidR="00333086" w:rsidRPr="0004653B" w:rsidRDefault="00333086"/>
    <w:p w:rsidR="005F7114" w:rsidRDefault="005F7114">
      <w:r w:rsidRPr="005F7114">
        <w:t>(</w:t>
      </w:r>
      <w:r w:rsidR="00A92817">
        <w:t>3</w:t>
      </w:r>
      <w:r w:rsidRPr="005F7114">
        <w:t xml:space="preserve"> points) What is the status of Echolls’ friends?  Are they Echolls’ tenants or are they (attempted) co-owners? </w:t>
      </w:r>
      <w:r w:rsidR="0004653B">
        <w:t xml:space="preserve"> Echolls seems to have treated them like tenants: he invited them; he collected their shares of the utility payments (note that he didn’t pay a proportional share: unlike his friends, he didn’t pay any of the ongoing costs except his share of the taxes).  But as a landlord he was also seemingly quite a slacker, so maybe they were all tenants in common with the same ownership claims.  (And if you thought this, then the adverse possession arguments seem stronger</w:t>
      </w:r>
      <w:r w:rsidR="00072A44">
        <w:t xml:space="preserve"> for the friends</w:t>
      </w:r>
      <w:r w:rsidR="0004653B">
        <w:t>: none of them, so far as we know, did anything to disavow ownership.)</w:t>
      </w:r>
    </w:p>
    <w:p w:rsidR="0004653B" w:rsidRDefault="0004653B"/>
    <w:p w:rsidR="005F7114" w:rsidRDefault="00934EA0">
      <w:r>
        <w:t>(3</w:t>
      </w:r>
      <w:r w:rsidR="005F7114">
        <w:t xml:space="preserve"> points) Has van de Kamp obtained </w:t>
      </w:r>
      <w:r w:rsidR="004914B4">
        <w:t>an easement</w:t>
      </w:r>
      <w:r>
        <w:t xml:space="preserve"> </w:t>
      </w:r>
      <w:r w:rsidR="004914B4">
        <w:t>to mow the front lawn and pick up trash (a really funny answer would have been to suggest that this was a profit)</w:t>
      </w:r>
      <w:r>
        <w:t xml:space="preserve">?  While it was possible to argue adverse possession, that doesn’t really match what she did.  A better argument was that she had at least attempted to get </w:t>
      </w:r>
      <w:r w:rsidR="005F7114">
        <w:t>an easement to mow the lawn and pic</w:t>
      </w:r>
      <w:r>
        <w:t>k up trash.</w:t>
      </w:r>
      <w:r w:rsidR="005F7114">
        <w:t xml:space="preserve">  Depending on whether Echolls was the owner, her easement might be by prescription (applicable against Petrelli</w:t>
      </w:r>
      <w:r w:rsidR="009D4FCA">
        <w:t xml:space="preserve"> or Echolls</w:t>
      </w:r>
      <w:r w:rsidR="005F7114">
        <w:t xml:space="preserve">) or </w:t>
      </w:r>
      <w:r w:rsidR="005B11F1">
        <w:t xml:space="preserve">perhaps </w:t>
      </w:r>
      <w:r w:rsidR="005F7114">
        <w:t>by some type of acquiescence (applicable against Echolls).</w:t>
      </w:r>
      <w:r w:rsidR="00A92817">
        <w:t xml:space="preserve">  If you concluded that Petrelli still owned the house, </w:t>
      </w:r>
      <w:r w:rsidR="009D4FCA">
        <w:t xml:space="preserve">however, </w:t>
      </w:r>
      <w:r w:rsidR="00A92817">
        <w:t>then you couldn’t—at least without further explanation—conclude that Echolls’ apparent permission</w:t>
      </w:r>
      <w:r w:rsidR="009D4FCA">
        <w:t xml:space="preserve"> or lack of interest</w:t>
      </w:r>
      <w:r w:rsidR="00A92817">
        <w:t xml:space="preserve"> destroyed adversity; van de Kamp’s presence was without Petrelli’s permission</w:t>
      </w:r>
      <w:r w:rsidR="00072A44">
        <w:t xml:space="preserve"> and van de Kamp’s satisfaction of the elements for an easement by prescription</w:t>
      </w:r>
      <w:r w:rsidR="003B6040">
        <w:t xml:space="preserve"> against Petrelli</w:t>
      </w:r>
      <w:r w:rsidR="00072A44">
        <w:t xml:space="preserve"> should be analyzed separately from Echolls’ (and friends’) interests</w:t>
      </w:r>
      <w:r w:rsidR="00A92817">
        <w:t>.</w:t>
      </w:r>
      <w:r w:rsidR="003E40E6">
        <w:t xml:space="preserve">  </w:t>
      </w:r>
    </w:p>
    <w:p w:rsidR="0004653B" w:rsidRDefault="0004653B"/>
    <w:p w:rsidR="005F7114" w:rsidRDefault="00A92817">
      <w:r>
        <w:t>(2</w:t>
      </w:r>
      <w:r w:rsidR="005F7114">
        <w:t xml:space="preserve"> points) Has van de Kamp obtained an easement or other property interest in the shack?  </w:t>
      </w:r>
      <w:r w:rsidR="009D4FCA">
        <w:t xml:space="preserve">The lawn and the shack are very different kinds of intrusions, and having an easement to mow the lawn wouldn’t give van de Kamp the right to build the shack.  </w:t>
      </w:r>
      <w:r w:rsidR="0006556F">
        <w:t>“Tacking”</w:t>
      </w:r>
      <w:r w:rsidR="003E40E6">
        <w:t xml:space="preserve"> her new use to her old one</w:t>
      </w:r>
      <w:r w:rsidR="0006556F">
        <w:t xml:space="preserve"> wouldn’t work here</w:t>
      </w:r>
      <w:r w:rsidR="00446ED0">
        <w:t xml:space="preserve"> because it isn’t a succession of interest but a new use</w:t>
      </w:r>
      <w:r w:rsidR="003E40E6">
        <w:t>—front lawn v. back yard, so actually involving a different part of the property, and mowing/cleaning v. building a permanent structure to boot</w:t>
      </w:r>
      <w:r w:rsidR="0006556F">
        <w:t xml:space="preserve">. </w:t>
      </w:r>
      <w:r w:rsidR="003E40E6">
        <w:t xml:space="preserve"> (Nor would tacking Echolls’ entry to hers work, because Echolls gave no indication that he was interested in a voluntary transfer.  Refusing to object isn’t voluntary transfer, though it could indicate acquiescence.) </w:t>
      </w:r>
      <w:r w:rsidR="0006556F">
        <w:t xml:space="preserve"> </w:t>
      </w:r>
      <w:r w:rsidR="00E51938">
        <w:t>Th</w:t>
      </w:r>
      <w:r w:rsidR="005F7114">
        <w:t>e prescriptive period hasn’t run</w:t>
      </w:r>
      <w:r w:rsidR="00E51938">
        <w:t xml:space="preserve"> for the shack</w:t>
      </w:r>
      <w:r w:rsidR="0004653B">
        <w:t>, so if you concluded that Petrelli was the owner then Van de Kamp has no chance</w:t>
      </w:r>
      <w:r w:rsidR="005F7114">
        <w:t xml:space="preserve">, but </w:t>
      </w:r>
      <w:r w:rsidR="009D4FCA">
        <w:t>if you concluded that Echolls was the owner then other methods of creating an easement might (but probably do not) apply.</w:t>
      </w:r>
    </w:p>
    <w:p w:rsidR="005F7114" w:rsidRDefault="005F7114"/>
    <w:p w:rsidR="00F61F11" w:rsidRPr="00C42C94" w:rsidRDefault="00582276" w:rsidP="00F61F11">
      <w:pPr>
        <w:rPr>
          <w:b/>
        </w:rPr>
      </w:pPr>
      <w:r w:rsidRPr="00C42C94">
        <w:rPr>
          <w:b/>
        </w:rPr>
        <w:t xml:space="preserve">Question </w:t>
      </w:r>
      <w:r w:rsidR="00866AF9" w:rsidRPr="00C42C94">
        <w:rPr>
          <w:b/>
        </w:rPr>
        <w:t>8</w:t>
      </w:r>
      <w:r w:rsidRPr="00C42C94">
        <w:rPr>
          <w:b/>
        </w:rPr>
        <w:t xml:space="preserve"> (</w:t>
      </w:r>
      <w:r w:rsidR="00F61F11" w:rsidRPr="00C42C94">
        <w:rPr>
          <w:b/>
        </w:rPr>
        <w:t>15 points</w:t>
      </w:r>
      <w:r w:rsidRPr="00C42C94">
        <w:rPr>
          <w:b/>
        </w:rPr>
        <w:t>): Th</w:t>
      </w:r>
      <w:r w:rsidR="00F61F11" w:rsidRPr="00C42C94">
        <w:rPr>
          <w:b/>
        </w:rPr>
        <w:t>e deed restriction</w:t>
      </w:r>
    </w:p>
    <w:p w:rsidR="00F61F11" w:rsidRPr="00C42C94" w:rsidRDefault="00F61F11" w:rsidP="00F61F11">
      <w:pPr>
        <w:rPr>
          <w:b/>
        </w:rPr>
      </w:pPr>
    </w:p>
    <w:p w:rsidR="00F61F11" w:rsidRPr="00C42C94" w:rsidRDefault="00F61F11" w:rsidP="00F61F11">
      <w:pPr>
        <w:rPr>
          <w:b/>
        </w:rPr>
      </w:pPr>
      <w:r w:rsidRPr="00C42C94">
        <w:rPr>
          <w:b/>
        </w:rPr>
        <w:t xml:space="preserve">A nonprofit developer is building affordable housing, which it will sell to qualified low-income buyers at below-market rates.  The developer wants to give occupant-owners some incentive to maintain the property and some ability to build wealth if the property appreciates, but primarily the goal is keeping the housing stock supplied with affordable units. Draft a deed provision for the affordable houses to accomplish the developer’s aims.  Then explain why you structured it as you did, with specific attention to: (1) Choice of type of restriction, (2) identity of the persons who are beneficiaries of/are entitled to enforce the deed provision, (3) whether there should be restrictions on the sales price, and (4) whether there should be restrictions on who is eligible to buy.  Consider enforceability in your drafting and analysis: the developer wants valid provisions.  </w:t>
      </w:r>
    </w:p>
    <w:p w:rsidR="00F61F11" w:rsidRPr="00C42C94" w:rsidRDefault="00F61F11" w:rsidP="00F61F11">
      <w:pPr>
        <w:rPr>
          <w:b/>
        </w:rPr>
      </w:pPr>
    </w:p>
    <w:p w:rsidR="00F61F11" w:rsidRPr="00C42C94" w:rsidRDefault="00F61F11" w:rsidP="00F61F11">
      <w:pPr>
        <w:rPr>
          <w:b/>
        </w:rPr>
      </w:pPr>
      <w:r w:rsidRPr="00C42C94">
        <w:rPr>
          <w:b/>
        </w:rPr>
        <w:t>Note: I really want you to draft a deed provision, then explain what you drafted.  Generalities will not get much credit.</w:t>
      </w:r>
    </w:p>
    <w:p w:rsidR="00F61F11" w:rsidRDefault="00F61F11"/>
    <w:p w:rsidR="00DD537A" w:rsidRDefault="00933DE8">
      <w:r>
        <w:t xml:space="preserve">This was also a hard question, and I gave credit for grappling with the issues raised even though there were some persistent difficulties.  </w:t>
      </w:r>
      <w:r w:rsidR="00C42C94">
        <w:t xml:space="preserve">An initial note: some people evidently searched online for existing affordable housing deed restrictions.  This was an acceptable technique: the rules did allow you to consult any inanimate object, and there are good reasons that lawyers copy things that have worked in the past.  However, this choice put a </w:t>
      </w:r>
      <w:r w:rsidR="00C42C94" w:rsidRPr="00933DE8">
        <w:rPr>
          <w:b/>
          <w:i/>
        </w:rPr>
        <w:t>substantial</w:t>
      </w:r>
      <w:r w:rsidR="00C42C94">
        <w:t xml:space="preserve"> premium on being able to explain the restrictions chosen.  If you can’t understand what you’re saying, you have no business saying it—you may well be commiting malpractice. </w:t>
      </w:r>
      <w:r w:rsidR="00136A94">
        <w:t xml:space="preserve"> If your client wants </w:t>
      </w:r>
      <w:r w:rsidR="00BC517B">
        <w:t xml:space="preserve">the legal equivalent of </w:t>
      </w:r>
      <w:r w:rsidR="006D307C">
        <w:t>Hydralazine (</w:t>
      </w:r>
      <w:r w:rsidR="006D307C" w:rsidRPr="006D307C">
        <w:t>for high blood pressure</w:t>
      </w:r>
      <w:r w:rsidR="006D307C">
        <w:t>)</w:t>
      </w:r>
      <w:r w:rsidR="006D307C" w:rsidRPr="006D307C">
        <w:t xml:space="preserve"> </w:t>
      </w:r>
      <w:r w:rsidR="006D307C" w:rsidRPr="006D307C">
        <w:tab/>
      </w:r>
      <w:r w:rsidR="00136A94">
        <w:t>and you deliver</w:t>
      </w:r>
      <w:r w:rsidR="00BC517B">
        <w:t xml:space="preserve"> the legal equivalent of</w:t>
      </w:r>
      <w:r w:rsidR="00136A94">
        <w:t xml:space="preserve"> </w:t>
      </w:r>
      <w:r w:rsidR="006D307C">
        <w:t>Hydroxyzine (</w:t>
      </w:r>
      <w:r w:rsidR="006D307C" w:rsidRPr="006D307C">
        <w:t>for hives and itching</w:t>
      </w:r>
      <w:r w:rsidR="006D307C">
        <w:t>)</w:t>
      </w:r>
      <w:r w:rsidR="00136A94">
        <w:t>, nobody ends up happy—especially when your client may not know the difference until it’s too late.</w:t>
      </w:r>
    </w:p>
    <w:p w:rsidR="00C42C94" w:rsidRDefault="00C42C94"/>
    <w:p w:rsidR="00636988" w:rsidRPr="00031C57" w:rsidRDefault="00F86BFA">
      <w:r w:rsidRPr="00F86BFA">
        <w:rPr>
          <w:i/>
        </w:rPr>
        <w:t>Choice of type of restriction</w:t>
      </w:r>
      <w:r>
        <w:t xml:space="preserve">: A fee simple determinable or subject to condition subsequent was an option, as well as a covenant subject to the Restatement.  A FSD or FSCS with a possibility of reverter or a right of entry in the grantor has the advantage of not being subject to the RAP, which </w:t>
      </w:r>
      <w:r w:rsidR="00D46B31">
        <w:t>(</w:t>
      </w:r>
      <w:r w:rsidR="00AB509D">
        <w:t>as the instructions state</w:t>
      </w:r>
      <w:r w:rsidR="00D46B31">
        <w:t>)</w:t>
      </w:r>
      <w:r w:rsidR="00AB509D">
        <w:t xml:space="preserve"> </w:t>
      </w:r>
      <w:r>
        <w:t xml:space="preserve">applies in Disturbia.  </w:t>
      </w:r>
      <w:r w:rsidR="00A4194A">
        <w:t>Options/rights of first refusal might implicate the RAP, though a right of</w:t>
      </w:r>
      <w:r w:rsidR="00031C57">
        <w:t xml:space="preserve"> first refusal is probably ok as per </w:t>
      </w:r>
      <w:r w:rsidR="00031C57">
        <w:rPr>
          <w:i/>
        </w:rPr>
        <w:t>Symphony Space</w:t>
      </w:r>
      <w:r w:rsidR="00031C57">
        <w:t>.</w:t>
      </w:r>
    </w:p>
    <w:p w:rsidR="00636988" w:rsidRDefault="00636988"/>
    <w:p w:rsidR="00D46B31" w:rsidRDefault="00636988">
      <w:r>
        <w:t>The exemplar I selected involved a defeasible estate, because I thought it was an interesting attempt, but m</w:t>
      </w:r>
      <w:r w:rsidR="00D46B31">
        <w:t xml:space="preserve">ost people chose covenants; my standard </w:t>
      </w:r>
      <w:r>
        <w:t xml:space="preserve">for grading </w:t>
      </w:r>
      <w:r w:rsidR="00D46B31">
        <w:t>was clarity of choice</w:t>
      </w:r>
      <w:r>
        <w:t>, and plenty of people did well with covenants</w:t>
      </w:r>
      <w:r w:rsidR="00514FC1">
        <w:t>.</w:t>
      </w:r>
      <w:r w:rsidR="0040148A">
        <w:t xml:space="preserve">  </w:t>
      </w:r>
      <w:r>
        <w:t>With covenants, it’s</w:t>
      </w:r>
      <w:r w:rsidR="0040148A">
        <w:t xml:space="preserve"> also important to be clear about duration</w:t>
      </w:r>
      <w:r>
        <w:t xml:space="preserve"> and/or running with the land.  P</w:t>
      </w:r>
      <w:r w:rsidR="0040148A">
        <w:t xml:space="preserve">lenty of people drafted deeds that restricted the first purchaser, but did not clearly restrict later purchasers.  As conscious choice, that’s okay, but needs explanation, especially as the client made clear that its top priority was to maintain the </w:t>
      </w:r>
      <w:r w:rsidR="0040148A">
        <w:lastRenderedPageBreak/>
        <w:t>stock of affordable housing, which would ordinarily mean that we’d want the restrictions to continue to run.</w:t>
      </w:r>
    </w:p>
    <w:p w:rsidR="00F86BFA" w:rsidRDefault="00F86BFA"/>
    <w:p w:rsidR="00F86BFA" w:rsidRDefault="00F86BFA">
      <w:r>
        <w:rPr>
          <w:i/>
        </w:rPr>
        <w:t>Identity of the persons benefited/entitled to enforce</w:t>
      </w:r>
      <w:r>
        <w:t>: This basically required you to be more explicit about the restriction you chose.  Do you want the neighbors to be able to enforce the restriction, or is the developer/the local housing authority a better decisionmaker</w:t>
      </w:r>
      <w:r w:rsidR="0040148A">
        <w:t>, given that residents are less likely to have incentives to ensure that their neighbors’ houses remain affordable</w:t>
      </w:r>
      <w:r>
        <w:t>?</w:t>
      </w:r>
      <w:r w:rsidR="00514FC1">
        <w:t xml:space="preserve">  Can you trust that the developer will be around long enough for this to work?</w:t>
      </w:r>
      <w:r w:rsidR="00D46B31">
        <w:t xml:space="preserve">  Beneficiaries/enforcers should have been identified, not implied.</w:t>
      </w:r>
    </w:p>
    <w:p w:rsidR="00F86BFA" w:rsidRDefault="00F86BFA"/>
    <w:p w:rsidR="00031C57" w:rsidRDefault="00F86BFA">
      <w:r>
        <w:rPr>
          <w:i/>
        </w:rPr>
        <w:t>Restrictions on the sales price and eligibility to buy</w:t>
      </w:r>
      <w:r>
        <w:t xml:space="preserve">: </w:t>
      </w:r>
      <w:r w:rsidR="00031C57">
        <w:t>Initially, it was important for people who wanted the restrictions to continue to make clear in the deed provision that future grantees would also have to agree to be bound, whether by making clear that a covenant ran with the land or by some other means.  If you didn’t want restrictions on future buyers, it was important to say that too, because that affects the balance between wealth-building and maintaining the property as part of the affordable housing stock.  I was looking for understanding, as well as acknowledgement of the client’s priorities.</w:t>
      </w:r>
    </w:p>
    <w:p w:rsidR="00031C57" w:rsidRDefault="00031C57"/>
    <w:p w:rsidR="00D46B31" w:rsidRDefault="00F86BFA">
      <w:r>
        <w:t xml:space="preserve">The developer wants to maintain affordable housing stock; restrictions on the sales price and eligibility to buy may be good ways of doing that, but they can also introduce substantial complexity and enforcement difficulty.  You could also have allowed </w:t>
      </w:r>
      <w:r w:rsidR="00D46B31">
        <w:t>sale at market rates</w:t>
      </w:r>
      <w:r>
        <w:t xml:space="preserve"> as long as </w:t>
      </w:r>
      <w:r w:rsidR="00D46B31">
        <w:t>the profits were</w:t>
      </w:r>
      <w:r>
        <w:t xml:space="preserve"> mostly given to the developer/housing authority to fund the acquisition of other affordable housing</w:t>
      </w:r>
      <w:r w:rsidR="00514FC1">
        <w:t>, though it’s really unlikely that such provisions generate enough money to replace the housing stock lost to appreciation</w:t>
      </w:r>
      <w:r w:rsidR="00D46B31">
        <w:t>.  I</w:t>
      </w:r>
      <w:r w:rsidR="00514FC1">
        <w:t>magine a $200,000 house that appreciates $100,000, a huge amount—even if the developer gets 90% of the appreciation at sale, it won’t be able to build another $200,000 house</w:t>
      </w:r>
      <w:r>
        <w:t>.</w:t>
      </w:r>
      <w:r w:rsidR="00AB509D">
        <w:t xml:space="preserve">  </w:t>
      </w:r>
      <w:r w:rsidR="00514FC1">
        <w:t xml:space="preserve">Thus, to the extent that the developer prioritizes cheap housing over wealth-building, such provisions shouldn’t give much to the homeowner. </w:t>
      </w:r>
    </w:p>
    <w:p w:rsidR="0040148A" w:rsidRDefault="0040148A"/>
    <w:p w:rsidR="0040148A" w:rsidRDefault="0040148A">
      <w:r>
        <w:t>Some people restricted how much money residents could make once they were in.  This is very dangerous—we probably don’t want to kick people out of their homes for getting raises; that would create substantial disincentives to building wealth through earnings.</w:t>
      </w:r>
    </w:p>
    <w:p w:rsidR="00D46B31" w:rsidRDefault="00D46B31"/>
    <w:p w:rsidR="00D46B31" w:rsidRDefault="00D46B31">
      <w:r>
        <w:t>Some people put income limits on subsequent purchasers but no price caps.  This was a puzzling choice—some then said that income limits would indirectly cap price, but then why not directly cap price?  (Some suggested that there was a psychological benefit, which I accepted though I’m dubious in practice.)  If income limits do work as price caps, then they limit wealth-building by owners in the same way that direct price caps do.  If they don’t, then they result in extracting money from low-income purchasers (and possibly forcing those buyers to take out big, risky mortgages).</w:t>
      </w:r>
    </w:p>
    <w:p w:rsidR="00D46B31" w:rsidRDefault="00D46B31"/>
    <w:p w:rsidR="00D46B31" w:rsidRDefault="00D46B31">
      <w:r>
        <w:lastRenderedPageBreak/>
        <w:t xml:space="preserve">Some people </w:t>
      </w:r>
      <w:r w:rsidR="002243EF">
        <w:t>added</w:t>
      </w:r>
      <w:r>
        <w:t xml:space="preserve"> time restrictions: purchasers could only resell after some period of years.  In general, unalloyed time restrictions are probably a bad idea.  If someone has a really good reason that s/he needs to sell, an absolute time restriction works a pretty significant penalty—and in the end it’s hard to keep someone in a house against his/her will; all you can do is make him/her poor on the way out.  </w:t>
      </w:r>
      <w:r w:rsidR="002B1061">
        <w:t xml:space="preserve">This ties in to the question of whether such limits are unreasonable restraints on alienation under the Restatement.  </w:t>
      </w:r>
      <w:r>
        <w:t>Time restrictions are generally best employed as ways to limit extraction of appreciation (flipping).  So a more reasonable time restriction would allow sale within the first N years, but the owners would have to give everything but the amount they paid/the fair market value of rent/some other small amount to the housing developer; after N years, they could start to share in any appreciation of value</w:t>
      </w:r>
      <w:r w:rsidR="002243EF">
        <w:t>, or even get the whole amount if you so chose</w:t>
      </w:r>
      <w:r>
        <w:t>.</w:t>
      </w:r>
      <w:r w:rsidR="002243EF">
        <w:t xml:space="preserve">  On the other hand, if you put in strict restrictions on </w:t>
      </w:r>
      <w:r w:rsidR="00F956C7">
        <w:t xml:space="preserve">capturing </w:t>
      </w:r>
      <w:r w:rsidR="002243EF">
        <w:t>appreciation from the beginning, then time restrictions were much less important</w:t>
      </w:r>
      <w:r w:rsidR="00F956C7">
        <w:t>/unnecessary</w:t>
      </w:r>
      <w:r w:rsidR="002243EF">
        <w:t>, since flipping early wouldn’t be worth much to the owner.</w:t>
      </w:r>
    </w:p>
    <w:p w:rsidR="00636988" w:rsidRDefault="00636988"/>
    <w:p w:rsidR="00636988" w:rsidRDefault="00636988">
      <w:r>
        <w:t>Some people put residency restrictions—no subleasing, in order to make sure that the people who benefited were the ones targeted, and to make sure that the owners couldn’t arbitrage (charge market rates to the renters).</w:t>
      </w:r>
      <w:r w:rsidR="00574541">
        <w:t xml:space="preserve">  This is a useful and common provision.</w:t>
      </w:r>
    </w:p>
    <w:p w:rsidR="00666BE0" w:rsidRDefault="00666BE0"/>
    <w:p w:rsidR="00666BE0" w:rsidRDefault="00666BE0">
      <w:r>
        <w:t xml:space="preserve">Some people who wanted the property to stay in the low-income housing stock tried to put extra restrictions on gifts/devises, to control against transfers to wealthy children or others who didn’t need the price break. </w:t>
      </w:r>
    </w:p>
    <w:p w:rsidR="00666BE0" w:rsidRDefault="00666BE0"/>
    <w:p w:rsidR="00666BE0" w:rsidRDefault="00666BE0">
      <w:r>
        <w:t>Some people tried a life estate; this was generally not the best solution, because a life estate is very risky (among other things, if other members of the family are living there, they can lose their home if the record owner dies) and hard to price/get a mortgage on/otherwise participate in the market for residential homes—in particular, it’s hard to figure out any secure way in which the holder of a life estate can participate in any appreciation of the property, since while a life estate may be secure enough for the estate holder herself, most people won’t want to buy a life estate that could end at any time.</w:t>
      </w:r>
    </w:p>
    <w:p w:rsidR="00D46B31" w:rsidRDefault="00D46B31"/>
    <w:p w:rsidR="00F86BFA" w:rsidRDefault="00AB509D">
      <w:r>
        <w:t>These restrictions, if you included them, should have been evaluated for enforceability—too stringent a restriction would potentially be invalid.</w:t>
      </w:r>
    </w:p>
    <w:p w:rsidR="00C42C94" w:rsidRDefault="00C42C94"/>
    <w:p w:rsidR="00C06CA6" w:rsidRPr="00F86BFA" w:rsidRDefault="00582276" w:rsidP="00C06CA6">
      <w:pPr>
        <w:rPr>
          <w:b/>
        </w:rPr>
      </w:pPr>
      <w:r w:rsidRPr="00F86BFA">
        <w:rPr>
          <w:b/>
        </w:rPr>
        <w:t xml:space="preserve">Question </w:t>
      </w:r>
      <w:r w:rsidR="00866AF9" w:rsidRPr="00F86BFA">
        <w:rPr>
          <w:b/>
        </w:rPr>
        <w:t>9</w:t>
      </w:r>
      <w:r w:rsidRPr="00F86BFA">
        <w:rPr>
          <w:b/>
        </w:rPr>
        <w:t xml:space="preserve"> (</w:t>
      </w:r>
      <w:r w:rsidR="005A3997" w:rsidRPr="00F86BFA">
        <w:rPr>
          <w:b/>
        </w:rPr>
        <w:t>25</w:t>
      </w:r>
      <w:r w:rsidR="0006583E" w:rsidRPr="00F86BFA">
        <w:rPr>
          <w:b/>
        </w:rPr>
        <w:t xml:space="preserve"> points</w:t>
      </w:r>
      <w:r w:rsidRPr="00F86BFA">
        <w:rPr>
          <w:b/>
        </w:rPr>
        <w:t>)</w:t>
      </w:r>
      <w:r w:rsidR="0006583E" w:rsidRPr="00F86BFA">
        <w:rPr>
          <w:b/>
        </w:rPr>
        <w:t xml:space="preserve">: </w:t>
      </w:r>
      <w:r w:rsidR="00C06CA6" w:rsidRPr="00F86BFA">
        <w:rPr>
          <w:b/>
        </w:rPr>
        <w:t>Avatar</w:t>
      </w:r>
    </w:p>
    <w:p w:rsidR="00C06CA6" w:rsidRPr="00F86BFA" w:rsidRDefault="00C06CA6" w:rsidP="00C06CA6">
      <w:pPr>
        <w:rPr>
          <w:b/>
        </w:rPr>
      </w:pPr>
    </w:p>
    <w:p w:rsidR="005A3997" w:rsidRPr="00F86BFA" w:rsidRDefault="00D52186" w:rsidP="005A3997">
      <w:pPr>
        <w:rPr>
          <w:b/>
        </w:rPr>
      </w:pPr>
      <w:r w:rsidRPr="00F86BFA">
        <w:rPr>
          <w:b/>
        </w:rPr>
        <w:t>Pandora</w:t>
      </w:r>
      <w:r w:rsidR="005A3997" w:rsidRPr="00F86BFA">
        <w:rPr>
          <w:b/>
        </w:rPr>
        <w:t xml:space="preserve"> </w:t>
      </w:r>
      <w:r w:rsidR="00D032F8" w:rsidRPr="00F86BFA">
        <w:rPr>
          <w:b/>
        </w:rPr>
        <w:t xml:space="preserve">is </w:t>
      </w:r>
      <w:r w:rsidR="005A3997" w:rsidRPr="00F86BFA">
        <w:rPr>
          <w:b/>
        </w:rPr>
        <w:t>a moon in th</w:t>
      </w:r>
      <w:r w:rsidR="00D032F8" w:rsidRPr="00F86BFA">
        <w:rPr>
          <w:b/>
        </w:rPr>
        <w:t>e Alpha Centauri star system</w:t>
      </w:r>
      <w:r w:rsidRPr="00F86BFA">
        <w:rPr>
          <w:b/>
        </w:rPr>
        <w:t xml:space="preserve"> with an atmosphere toxic to humans</w:t>
      </w:r>
      <w:r w:rsidR="00D032F8" w:rsidRPr="00F86BFA">
        <w:rPr>
          <w:b/>
        </w:rPr>
        <w:t>. On Pandora, the RDA C</w:t>
      </w:r>
      <w:r w:rsidR="005A3997" w:rsidRPr="00F86BFA">
        <w:rPr>
          <w:b/>
        </w:rPr>
        <w:t xml:space="preserve">orporation is mining a valuable mineral called unobtanium. </w:t>
      </w:r>
      <w:r w:rsidR="00D032F8" w:rsidRPr="00F86BFA">
        <w:rPr>
          <w:b/>
        </w:rPr>
        <w:t xml:space="preserve"> In order to get the unobtainium more efficiently, RDA has developed the Avatar program, which uses human genetic material combined with genetic material from the Na’vi, a species native to Pandora.</w:t>
      </w:r>
    </w:p>
    <w:p w:rsidR="00D032F8" w:rsidRPr="00F86BFA" w:rsidRDefault="00D032F8" w:rsidP="005A3997">
      <w:pPr>
        <w:rPr>
          <w:b/>
        </w:rPr>
      </w:pPr>
    </w:p>
    <w:p w:rsidR="00D52186" w:rsidRPr="00F86BFA" w:rsidRDefault="00D52186" w:rsidP="00D52186">
      <w:pPr>
        <w:rPr>
          <w:b/>
        </w:rPr>
      </w:pPr>
      <w:r w:rsidRPr="00F86BFA">
        <w:rPr>
          <w:b/>
        </w:rPr>
        <w:t xml:space="preserve">The Avatar program took over ten years and a billion dollars to develop.  Building on work with brain-wiped primates and condemned criminals, RDA scientist Dr. Cordell Lovecraft was able to establish mental links between human twins, humans and human-animal hybrids that shared common DNA, and finally humans and human-Na’vi hybrids with common genetic blueprints.  </w:t>
      </w:r>
    </w:p>
    <w:p w:rsidR="00D52186" w:rsidRPr="00F86BFA" w:rsidRDefault="00D52186" w:rsidP="00D52186">
      <w:pPr>
        <w:rPr>
          <w:b/>
        </w:rPr>
      </w:pPr>
    </w:p>
    <w:p w:rsidR="00D52186" w:rsidRPr="00F86BFA" w:rsidRDefault="00D52186" w:rsidP="00D52186">
      <w:pPr>
        <w:rPr>
          <w:b/>
        </w:rPr>
      </w:pPr>
      <w:r w:rsidRPr="00F86BFA">
        <w:rPr>
          <w:b/>
        </w:rPr>
        <w:t>Since humans are far more closely related genetically to garden slugs than to Na’vi, creating a link between the human (known as the “driver”) and the avatar required months of computer time and multiple failed experiments, some of which caused irreparable trauma to volunteer subjects.  But eventually the Avatar Program succeeded, and RDA has obtained multiple patents on the process of creating avatars and the machinery that creates the human-avatar link.</w:t>
      </w:r>
    </w:p>
    <w:p w:rsidR="00D52186" w:rsidRPr="00F86BFA" w:rsidRDefault="00D52186" w:rsidP="00D032F8">
      <w:pPr>
        <w:rPr>
          <w:b/>
        </w:rPr>
      </w:pPr>
    </w:p>
    <w:p w:rsidR="005A3997" w:rsidRPr="00F86BFA" w:rsidRDefault="00D52186" w:rsidP="00D032F8">
      <w:pPr>
        <w:rPr>
          <w:b/>
        </w:rPr>
      </w:pPr>
      <w:r w:rsidRPr="00F86BFA">
        <w:rPr>
          <w:b/>
        </w:rPr>
        <w:t>Each avatar represents a five million dollar investment for RDA. For each avatar, t</w:t>
      </w:r>
      <w:r w:rsidR="00D032F8" w:rsidRPr="00F86BFA">
        <w:rPr>
          <w:b/>
        </w:rPr>
        <w:t>he human genetic material is contributed</w:t>
      </w:r>
      <w:r w:rsidRPr="00F86BFA">
        <w:rPr>
          <w:b/>
        </w:rPr>
        <w:t xml:space="preserve"> by a specific “driver</w:t>
      </w:r>
      <w:r w:rsidR="00D032F8" w:rsidRPr="00F86BFA">
        <w:rPr>
          <w:b/>
        </w:rPr>
        <w:t>.</w:t>
      </w:r>
      <w:r w:rsidRPr="00F86BFA">
        <w:rPr>
          <w:b/>
        </w:rPr>
        <w:t>”  This genetic similarity allows the formation of a mental link between driver and avatar.</w:t>
      </w:r>
      <w:r w:rsidR="00D032F8" w:rsidRPr="00F86BFA">
        <w:rPr>
          <w:b/>
        </w:rPr>
        <w:t xml:space="preserve">  </w:t>
      </w:r>
      <w:r w:rsidR="005A3997" w:rsidRPr="00F86BFA">
        <w:rPr>
          <w:b/>
        </w:rPr>
        <w:t xml:space="preserve">While the </w:t>
      </w:r>
      <w:r w:rsidRPr="00F86BFA">
        <w:rPr>
          <w:b/>
        </w:rPr>
        <w:t>driver</w:t>
      </w:r>
      <w:r w:rsidR="005A3997" w:rsidRPr="00F86BFA">
        <w:rPr>
          <w:b/>
        </w:rPr>
        <w:t xml:space="preserve"> remains in a sleep-like state, his or her personality inhabits and completely controls </w:t>
      </w:r>
      <w:r w:rsidR="00D032F8" w:rsidRPr="00F86BFA">
        <w:rPr>
          <w:b/>
        </w:rPr>
        <w:t xml:space="preserve">the avatar.  </w:t>
      </w:r>
      <w:r w:rsidRPr="00F86BFA">
        <w:rPr>
          <w:b/>
        </w:rPr>
        <w:t>T</w:t>
      </w:r>
      <w:r w:rsidR="005A3997" w:rsidRPr="00F86BFA">
        <w:rPr>
          <w:b/>
        </w:rPr>
        <w:t xml:space="preserve">he human believes he is actually inhabiting the </w:t>
      </w:r>
      <w:r w:rsidR="00D032F8" w:rsidRPr="00F86BFA">
        <w:rPr>
          <w:b/>
        </w:rPr>
        <w:t>avatar</w:t>
      </w:r>
      <w:r w:rsidR="005A3997" w:rsidRPr="00F86BFA">
        <w:rPr>
          <w:b/>
        </w:rPr>
        <w:t xml:space="preserve"> body, with all senses, reflexes and bodily functions fully operational. The avatar body, having been grown</w:t>
      </w:r>
      <w:r w:rsidR="00D032F8" w:rsidRPr="00F86BFA">
        <w:rPr>
          <w:b/>
        </w:rPr>
        <w:t xml:space="preserve"> to adulthood</w:t>
      </w:r>
      <w:r w:rsidR="005A3997" w:rsidRPr="00F86BFA">
        <w:rPr>
          <w:b/>
        </w:rPr>
        <w:t xml:space="preserve"> in </w:t>
      </w:r>
      <w:r w:rsidR="00D032F8" w:rsidRPr="00F86BFA">
        <w:rPr>
          <w:b/>
        </w:rPr>
        <w:t>a tank in under five years</w:t>
      </w:r>
      <w:r w:rsidR="005A3997" w:rsidRPr="00F86BFA">
        <w:rPr>
          <w:b/>
        </w:rPr>
        <w:t>, has no personality of its own and is ine</w:t>
      </w:r>
      <w:r w:rsidR="00D032F8" w:rsidRPr="00F86BFA">
        <w:rPr>
          <w:b/>
        </w:rPr>
        <w:t xml:space="preserve">rt (except for basic autonomic </w:t>
      </w:r>
      <w:r w:rsidR="005A3997" w:rsidRPr="00F86BFA">
        <w:rPr>
          <w:b/>
        </w:rPr>
        <w:t>functions) when not under human control.</w:t>
      </w:r>
      <w:r w:rsidR="00F63026" w:rsidRPr="00F86BFA">
        <w:rPr>
          <w:b/>
        </w:rPr>
        <w:t xml:space="preserve">  If the driver’s body dies while linked to the avatar, the driver’s consciousness stays active in the avatar for several months before dissipating.</w:t>
      </w:r>
      <w:r w:rsidRPr="00F86BFA">
        <w:rPr>
          <w:b/>
        </w:rPr>
        <w:t xml:space="preserve">  Gene therapy could in theory allow a new person to operate the avatar, but this hasn’t happened yet.  Drivers tend to become attached to their avatars very quickly, considering them “theirs.”  </w:t>
      </w:r>
    </w:p>
    <w:p w:rsidR="00D032F8" w:rsidRPr="00F86BFA" w:rsidRDefault="00D032F8" w:rsidP="00D032F8">
      <w:pPr>
        <w:rPr>
          <w:b/>
        </w:rPr>
      </w:pPr>
    </w:p>
    <w:p w:rsidR="00D032F8" w:rsidRPr="00F86BFA" w:rsidRDefault="00D032F8" w:rsidP="005A3997">
      <w:pPr>
        <w:rPr>
          <w:b/>
        </w:rPr>
      </w:pPr>
      <w:r w:rsidRPr="00F86BFA">
        <w:rPr>
          <w:b/>
        </w:rPr>
        <w:t>Sadly, RDA did not bring lawyers to Pandora, and thus there are no contracts between RDA and the drivers.</w:t>
      </w:r>
    </w:p>
    <w:p w:rsidR="00D032F8" w:rsidRPr="00F86BFA" w:rsidRDefault="00D032F8" w:rsidP="001914B6">
      <w:pPr>
        <w:rPr>
          <w:b/>
        </w:rPr>
      </w:pPr>
    </w:p>
    <w:p w:rsidR="00B506B7" w:rsidRDefault="00AC1625" w:rsidP="00F63026">
      <w:pPr>
        <w:pStyle w:val="ListParagraph"/>
        <w:numPr>
          <w:ilvl w:val="0"/>
          <w:numId w:val="3"/>
        </w:numPr>
        <w:rPr>
          <w:b/>
        </w:rPr>
      </w:pPr>
      <w:r w:rsidRPr="00F86BFA">
        <w:rPr>
          <w:b/>
        </w:rPr>
        <w:t xml:space="preserve">(15 points) </w:t>
      </w:r>
      <w:r w:rsidR="00D032F8" w:rsidRPr="00F86BFA">
        <w:rPr>
          <w:b/>
        </w:rPr>
        <w:t>Who owns the avatars?  Why?</w:t>
      </w:r>
      <w:r w:rsidR="00F63026" w:rsidRPr="00F86BFA">
        <w:rPr>
          <w:b/>
        </w:rPr>
        <w:t xml:space="preserve">  </w:t>
      </w:r>
    </w:p>
    <w:p w:rsidR="00C95DCC" w:rsidRDefault="00C95DCC" w:rsidP="00C95DCC">
      <w:pPr>
        <w:rPr>
          <w:b/>
        </w:rPr>
      </w:pPr>
    </w:p>
    <w:p w:rsidR="00C95DCC" w:rsidRDefault="00C95DCC" w:rsidP="00C95DCC">
      <w:r>
        <w:t xml:space="preserve">Note: Though </w:t>
      </w:r>
      <w:r>
        <w:rPr>
          <w:i/>
        </w:rPr>
        <w:t>Moore</w:t>
      </w:r>
      <w:r>
        <w:t xml:space="preserve"> was obviously highly relevant, it wasn’t necessarily binding.  So it was a good basis for discussion, but you could reject its result on the basis of substantive disagreement.</w:t>
      </w:r>
      <w:r w:rsidR="00216605">
        <w:t xml:space="preserve">  </w:t>
      </w:r>
    </w:p>
    <w:p w:rsidR="00216605" w:rsidRDefault="00216605" w:rsidP="00C95DCC"/>
    <w:p w:rsidR="00CB44BB" w:rsidRPr="00D73C81" w:rsidRDefault="00216605" w:rsidP="00C95DCC">
      <w:r>
        <w:t xml:space="preserve">The main contenders for ownership were RDA and the drivers, with Dr. Lovecraft and the victims of the earlier experimentation making some appearances, though people generally agreed that Lovecraft was RDA’s agent and therefore his ownership claims would be RDA’s.  Under the labor theory of value, RDA has contributed almost all of the value of the avatars.  </w:t>
      </w:r>
      <w:r w:rsidR="00FF2469">
        <w:t xml:space="preserve">It also contributed creative genius.  </w:t>
      </w:r>
      <w:r w:rsidR="00D73C81">
        <w:t xml:space="preserve">The intellectual property cases largely endorse ownership of the </w:t>
      </w:r>
      <w:r w:rsidR="00D73C81">
        <w:lastRenderedPageBreak/>
        <w:t xml:space="preserve">products of creativity, and to the extent that the creativity is embodied in the avatars, that counsels in favor of RDA’s ownership.  (On the other hand, some people argued that </w:t>
      </w:r>
      <w:r w:rsidR="00D73C81">
        <w:rPr>
          <w:i/>
        </w:rPr>
        <w:t>White</w:t>
      </w:r>
      <w:r w:rsidR="00D73C81">
        <w:t xml:space="preserve"> supported the drivers’ claims, because their personas were arguably implicated in the avatars.)</w:t>
      </w:r>
    </w:p>
    <w:p w:rsidR="00CB44BB" w:rsidRDefault="00CB44BB" w:rsidP="00C95DCC"/>
    <w:p w:rsidR="00216605" w:rsidRPr="00FF2469" w:rsidRDefault="00216605" w:rsidP="00C95DCC">
      <w:r>
        <w:t xml:space="preserve">On the other hand, RDA didn’t start with unowned stuff; it started with the products of other humans’ bodies.  Just as labor theory doesn’t let me keep all the value of applesauce I make with neighbors’ apples—indeed, often I can’t keep </w:t>
      </w:r>
      <w:r>
        <w:rPr>
          <w:i/>
        </w:rPr>
        <w:t>any</w:t>
      </w:r>
      <w:r>
        <w:t xml:space="preserve"> of that value—RDA might owe something to the drivers.  Plus, the drivers contribute to the value of the avatars on an ongoing basis by operating them</w:t>
      </w:r>
      <w:r w:rsidR="00FF2469">
        <w:t xml:space="preserve">, which was among other things a potential distinction from </w:t>
      </w:r>
      <w:r w:rsidR="00FF2469">
        <w:rPr>
          <w:i/>
        </w:rPr>
        <w:t>Moore</w:t>
      </w:r>
      <w:r w:rsidR="00FF2469">
        <w:t>.</w:t>
      </w:r>
      <w:r w:rsidR="00CB44BB">
        <w:t xml:space="preserve">  This brings up Peggy Radin’s ideas about property for personhood; the avatars were arguably so intertwined with the drivers’ personhood that the drivers’ claims should be recognized.</w:t>
      </w:r>
      <w:r w:rsidR="00A94EBE">
        <w:t xml:space="preserve">  Certainly in the case of an avatar whose driver’s body has died, but whose consciousness remains preserved in the avatar, it would seem uncomfortably like slavery to say that RDA owned the avatar.  It’s literally intertwined with the driver’s personhood.</w:t>
      </w:r>
    </w:p>
    <w:p w:rsidR="00C95DCC" w:rsidRDefault="00C95DCC" w:rsidP="00C95DCC"/>
    <w:p w:rsidR="00C95DCC" w:rsidRDefault="00C95DCC" w:rsidP="00C95DCC">
      <w:r>
        <w:t>I was somewhat surprised how few people suggested any sharing of property rights between RDA and the drivers (or the victims of earlier experimentation).</w:t>
      </w:r>
    </w:p>
    <w:p w:rsidR="00AC5517" w:rsidRDefault="00AC5517" w:rsidP="00C95DCC"/>
    <w:p w:rsidR="00AC5517" w:rsidRDefault="00AC5517" w:rsidP="00C95DCC">
      <w:r>
        <w:t>Note: these facts don’t indicate that the Na’vi are sentient, and you didn’t need to talk about them at all.  However, if you assumed because of the similarity to the movie that the Na’vi are sentient, you could also analyze their potential claims—they mainly differed from those of the drivers because there was no indication in these facts that the Na’vi voluntarily interacted with RDA in any way, which might make a difference.  I gave credit for the quality of the discussion either way.</w:t>
      </w:r>
    </w:p>
    <w:p w:rsidR="00C95DCC" w:rsidRPr="00C95DCC" w:rsidRDefault="00C95DCC" w:rsidP="00C95DCC"/>
    <w:p w:rsidR="00C06CA6" w:rsidRDefault="00AC1625" w:rsidP="00C06CA6">
      <w:pPr>
        <w:pStyle w:val="ListParagraph"/>
        <w:numPr>
          <w:ilvl w:val="0"/>
          <w:numId w:val="3"/>
        </w:numPr>
        <w:rPr>
          <w:b/>
        </w:rPr>
      </w:pPr>
      <w:r w:rsidRPr="00F86BFA">
        <w:rPr>
          <w:b/>
        </w:rPr>
        <w:t xml:space="preserve">(10 points) </w:t>
      </w:r>
      <w:r w:rsidR="00F63026" w:rsidRPr="00F86BFA">
        <w:rPr>
          <w:b/>
        </w:rPr>
        <w:t>The government proposes to expropriate the avatars for defense purposes</w:t>
      </w:r>
      <w:r w:rsidR="00D52186" w:rsidRPr="00F86BFA">
        <w:rPr>
          <w:b/>
        </w:rPr>
        <w:t xml:space="preserve">, though it will not draft the drivers (however, they may </w:t>
      </w:r>
      <w:r w:rsidR="00B013EA" w:rsidRPr="00F86BFA">
        <w:rPr>
          <w:b/>
        </w:rPr>
        <w:t>enlist</w:t>
      </w:r>
      <w:r w:rsidR="00D52186" w:rsidRPr="00F86BFA">
        <w:rPr>
          <w:b/>
        </w:rPr>
        <w:t xml:space="preserve"> if they can’t bear to be parted from their avatars, and in fact almost all of the drivers would choose to enlist if the government proceeds with its plan).  What does property law have to say about the government’s plan?  You may consider both the US Constitution and general principles in your answer.</w:t>
      </w:r>
    </w:p>
    <w:p w:rsidR="00CB44BB" w:rsidRDefault="00CB44BB" w:rsidP="00CB44BB">
      <w:pPr>
        <w:rPr>
          <w:b/>
        </w:rPr>
      </w:pPr>
    </w:p>
    <w:p w:rsidR="00B1209F" w:rsidRPr="00B1209F" w:rsidRDefault="00B1209F" w:rsidP="00CB44BB">
      <w:r>
        <w:t xml:space="preserve">If you said that no one owned the avatars—that they were not capable of being propertized—then it was important to recognize the consequences for takings analysis: Only “property” can be “taken,” and thus if the avatars were not property, property law (including takings law) had nothing to say about what the government can or can’t do with avatars.  This is, in fact, a potential reason to allocate property rights in the avatars; in our system, we often respect only that which is property (see also </w:t>
      </w:r>
      <w:r>
        <w:rPr>
          <w:i/>
        </w:rPr>
        <w:t>Castle Rock</w:t>
      </w:r>
      <w:r>
        <w:t>).</w:t>
      </w:r>
    </w:p>
    <w:p w:rsidR="00B1209F" w:rsidRDefault="00B1209F" w:rsidP="00CB44BB"/>
    <w:p w:rsidR="004C7EE4" w:rsidRDefault="00CB44BB" w:rsidP="00CB44BB">
      <w:r>
        <w:lastRenderedPageBreak/>
        <w:t xml:space="preserve">Most people recognized that there was essentially no problem determining that this was a public use—defense is exactly the kind of thing that governments are supposed to do, and courts are unlikely (for reasons that seem generally persuasive) to try to gauge whether there is really a sufficient national security threat present to justify the appropriation.  Moreover, there is really no question that this is a physical appropriation—a straight-up taking.  </w:t>
      </w:r>
      <w:r w:rsidR="003F3AC0">
        <w:t>A</w:t>
      </w:r>
      <w:r w:rsidR="004C7EE4">
        <w:t xml:space="preserve"> taking must be paid for; the whole point of takings law is that sometimes the government ought to pay for the costs it imposes on individuals.</w:t>
      </w:r>
      <w:r w:rsidR="00390FB6">
        <w:t xml:space="preserve">  So invoking the police power wasn’t sufficient to show that the government didn’t need to pay; all that it meant was that the government could constitutionally take the action at issue.</w:t>
      </w:r>
    </w:p>
    <w:p w:rsidR="004C7EE4" w:rsidRDefault="004C7EE4" w:rsidP="00CB44BB"/>
    <w:p w:rsidR="00CB44BB" w:rsidRDefault="00CB44BB" w:rsidP="00CB44BB">
      <w:r>
        <w:t>So as a matter of constitutional law, the government can apparently take t</w:t>
      </w:r>
      <w:r w:rsidR="00DE004D">
        <w:t>he avatars as long as it pays.  The case law imposes no requirement of necessity—if the government decides that something is useful to the public (say, a piece of land for a military base) it can expropriate the land as long as it pays, even if there’s a good argument that another piece of land, available on the open market, would do equally well.  Only if we adopted Radin’s argument about personhood would we have a reason that some things just shouldn’t be available for takings at all—and that would only make sense if the drivers were the owners.  RDA, as a corporation, doesn’t have the type of personhood interest Radin would protect.</w:t>
      </w:r>
    </w:p>
    <w:p w:rsidR="00CB44BB" w:rsidRDefault="00CB44BB" w:rsidP="00CB44BB"/>
    <w:p w:rsidR="00CB44BB" w:rsidRDefault="00CB44BB" w:rsidP="00CB44BB">
      <w:r>
        <w:t xml:space="preserve">Depending on who you concluded was the owner, though, just compensation might be hard to figure out. </w:t>
      </w:r>
      <w:r w:rsidR="009E04EA">
        <w:t xml:space="preserve"> Credit was given for consistency! </w:t>
      </w:r>
      <w:r>
        <w:t xml:space="preserve"> If </w:t>
      </w:r>
      <w:r w:rsidR="009E04EA">
        <w:t>you said the owner was RDA, just compensation is probably</w:t>
      </w:r>
      <w:r>
        <w:t xml:space="preserve"> related to the cost of production (although it’s not clear that the cost of production is fair market value or that there is even a market for the avatars).  If the owner is the driver, then we still have the market value problem, compounded by the fact that the cost of production bears no relationship to what the drivers have invested in the avatars or any other measure of the value the avatars might have for the drivers.  This personhood value may simply be uncompensable.  </w:t>
      </w:r>
    </w:p>
    <w:p w:rsidR="00CB44BB" w:rsidRDefault="00CB44BB" w:rsidP="00CB44BB"/>
    <w:p w:rsidR="00CB44BB" w:rsidRDefault="00CB44BB" w:rsidP="00CB44BB">
      <w:r>
        <w:t xml:space="preserve">The uncompensability might also suggest, </w:t>
      </w:r>
      <w:r>
        <w:rPr>
          <w:i/>
        </w:rPr>
        <w:t>per</w:t>
      </w:r>
      <w:r>
        <w:t xml:space="preserve"> Radin, that it is a moral wrong to appropriate the avatars; the fact that most drivers would enlist to avoid separation from their avatars is further evidence of the tight relationship between the avatar and the driver.</w:t>
      </w:r>
    </w:p>
    <w:p w:rsidR="00F82D4C" w:rsidRDefault="00F82D4C" w:rsidP="00CB44BB"/>
    <w:p w:rsidR="00F82D4C" w:rsidRPr="001531CF" w:rsidRDefault="00F82D4C" w:rsidP="001531CF">
      <w:r>
        <w:t>More broadly, there are reasons the government might not want to expropriate if it can bargain—demoralization costs and other costs associated with takings, even if constitutional.  With the ability to take always looming in the background, RDA may be willing to negotiate a deal with the government; it’s hard to say that there’s a totally free bargaining process when one side of that process actually makes the rules under which marketplace transactions occur.</w:t>
      </w:r>
      <w:r w:rsidR="001531CF">
        <w:t xml:space="preserve">  Some people also discussed Michelman’s theory of efficient takings, though without any information about settlement costs, demoralization costs, and efficiency benefits from an appropriation it was hard to say very much—the key thing to realize was that the government only needs to take into </w:t>
      </w:r>
      <w:r w:rsidR="001531CF">
        <w:lastRenderedPageBreak/>
        <w:t xml:space="preserve">account one cost—settlement costs (costs of compensation) and demoralization costs (costs of not compensating) are mutually exclusive, and Michelman’s argument is that when </w:t>
      </w:r>
      <w:r w:rsidR="001531CF">
        <w:rPr>
          <w:i/>
        </w:rPr>
        <w:t>each one</w:t>
      </w:r>
      <w:r w:rsidR="001531CF">
        <w:t xml:space="preserve"> outweighs efficiency gains the government should not act; it doesn’t matter whether </w:t>
      </w:r>
      <w:r w:rsidR="001531CF">
        <w:rPr>
          <w:i/>
        </w:rPr>
        <w:t>the sum</w:t>
      </w:r>
      <w:r w:rsidR="001531CF">
        <w:t xml:space="preserve"> is greater than the efficiency gains, because under no circumstance does society suffer both costs.</w:t>
      </w:r>
    </w:p>
    <w:sectPr w:rsidR="00F82D4C" w:rsidRPr="001531CF" w:rsidSect="00AA57C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5BF" w:rsidRDefault="008415BF" w:rsidP="00582276">
      <w:pPr>
        <w:spacing w:line="240" w:lineRule="auto"/>
      </w:pPr>
      <w:r>
        <w:separator/>
      </w:r>
    </w:p>
  </w:endnote>
  <w:endnote w:type="continuationSeparator" w:id="0">
    <w:p w:rsidR="008415BF" w:rsidRDefault="008415BF" w:rsidP="005822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7180862"/>
      <w:docPartObj>
        <w:docPartGallery w:val="Page Numbers (Bottom of Page)"/>
        <w:docPartUnique/>
      </w:docPartObj>
    </w:sdtPr>
    <w:sdtEndPr/>
    <w:sdtContent>
      <w:sdt>
        <w:sdtPr>
          <w:id w:val="565050477"/>
          <w:docPartObj>
            <w:docPartGallery w:val="Page Numbers (Top of Page)"/>
            <w:docPartUnique/>
          </w:docPartObj>
        </w:sdtPr>
        <w:sdtEndPr/>
        <w:sdtContent>
          <w:p w:rsidR="00514FC1" w:rsidRDefault="00514FC1">
            <w:pPr>
              <w:pStyle w:val="Footer"/>
              <w:jc w:val="center"/>
            </w:pPr>
            <w:r>
              <w:t xml:space="preserve">Page </w:t>
            </w:r>
            <w:r w:rsidR="00CB272E">
              <w:rPr>
                <w:b/>
              </w:rPr>
              <w:fldChar w:fldCharType="begin"/>
            </w:r>
            <w:r>
              <w:rPr>
                <w:b/>
              </w:rPr>
              <w:instrText xml:space="preserve"> PAGE </w:instrText>
            </w:r>
            <w:r w:rsidR="00CB272E">
              <w:rPr>
                <w:b/>
              </w:rPr>
              <w:fldChar w:fldCharType="separate"/>
            </w:r>
            <w:r w:rsidR="008E6D99">
              <w:rPr>
                <w:b/>
                <w:noProof/>
              </w:rPr>
              <w:t>11</w:t>
            </w:r>
            <w:r w:rsidR="00CB272E">
              <w:rPr>
                <w:b/>
              </w:rPr>
              <w:fldChar w:fldCharType="end"/>
            </w:r>
            <w:r>
              <w:t xml:space="preserve"> of </w:t>
            </w:r>
            <w:r w:rsidR="00CB272E">
              <w:rPr>
                <w:b/>
              </w:rPr>
              <w:fldChar w:fldCharType="begin"/>
            </w:r>
            <w:r>
              <w:rPr>
                <w:b/>
              </w:rPr>
              <w:instrText xml:space="preserve"> NUMPAGES  </w:instrText>
            </w:r>
            <w:r w:rsidR="00CB272E">
              <w:rPr>
                <w:b/>
              </w:rPr>
              <w:fldChar w:fldCharType="separate"/>
            </w:r>
            <w:r w:rsidR="008E6D99">
              <w:rPr>
                <w:b/>
                <w:noProof/>
              </w:rPr>
              <w:t>20</w:t>
            </w:r>
            <w:r w:rsidR="00CB272E">
              <w:rPr>
                <w:b/>
              </w:rPr>
              <w:fldChar w:fldCharType="end"/>
            </w:r>
          </w:p>
        </w:sdtContent>
      </w:sdt>
    </w:sdtContent>
  </w:sdt>
  <w:p w:rsidR="00514FC1" w:rsidRDefault="00514F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5BF" w:rsidRDefault="008415BF" w:rsidP="00582276">
      <w:pPr>
        <w:spacing w:line="240" w:lineRule="auto"/>
      </w:pPr>
      <w:r>
        <w:separator/>
      </w:r>
    </w:p>
  </w:footnote>
  <w:footnote w:type="continuationSeparator" w:id="0">
    <w:p w:rsidR="008415BF" w:rsidRDefault="008415BF" w:rsidP="0058227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4FC1" w:rsidRDefault="00514FC1">
    <w:pPr>
      <w:pStyle w:val="Header"/>
    </w:pPr>
    <w:r>
      <w:t>Property</w:t>
    </w:r>
    <w:r>
      <w:ptab w:relativeTo="margin" w:alignment="center" w:leader="none"/>
    </w:r>
    <w:r>
      <w:ptab w:relativeTo="margin" w:alignment="right" w:leader="none"/>
    </w:r>
    <w:r>
      <w:t>Spring 2010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13720"/>
    <w:multiLevelType w:val="hybridMultilevel"/>
    <w:tmpl w:val="732CCC78"/>
    <w:lvl w:ilvl="0" w:tplc="93BC3A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5314B1"/>
    <w:multiLevelType w:val="hybridMultilevel"/>
    <w:tmpl w:val="709A6128"/>
    <w:lvl w:ilvl="0" w:tplc="E23822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A536B"/>
    <w:multiLevelType w:val="hybridMultilevel"/>
    <w:tmpl w:val="B47C9694"/>
    <w:lvl w:ilvl="0" w:tplc="4A1A30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FB67D3E"/>
    <w:multiLevelType w:val="hybridMultilevel"/>
    <w:tmpl w:val="CAE4180E"/>
    <w:lvl w:ilvl="0" w:tplc="5C081C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0E8463E"/>
    <w:multiLevelType w:val="hybridMultilevel"/>
    <w:tmpl w:val="A322D888"/>
    <w:lvl w:ilvl="0" w:tplc="2FB6D0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C5E3EE4"/>
    <w:multiLevelType w:val="hybridMultilevel"/>
    <w:tmpl w:val="63CC0C02"/>
    <w:lvl w:ilvl="0" w:tplc="458C66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B1390B"/>
    <w:multiLevelType w:val="hybridMultilevel"/>
    <w:tmpl w:val="1070FC84"/>
    <w:lvl w:ilvl="0" w:tplc="863E74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CD6581"/>
    <w:multiLevelType w:val="hybridMultilevel"/>
    <w:tmpl w:val="77A42CC8"/>
    <w:lvl w:ilvl="0" w:tplc="DE5296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F21A54"/>
    <w:multiLevelType w:val="hybridMultilevel"/>
    <w:tmpl w:val="80D4CCCA"/>
    <w:lvl w:ilvl="0" w:tplc="9FD0553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4D6D2064"/>
    <w:multiLevelType w:val="hybridMultilevel"/>
    <w:tmpl w:val="283E3406"/>
    <w:lvl w:ilvl="0" w:tplc="47DC1A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E0B45DE"/>
    <w:multiLevelType w:val="hybridMultilevel"/>
    <w:tmpl w:val="0400BE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3FD5C00"/>
    <w:multiLevelType w:val="hybridMultilevel"/>
    <w:tmpl w:val="BA7249BC"/>
    <w:lvl w:ilvl="0" w:tplc="75049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DC22EED"/>
    <w:multiLevelType w:val="hybridMultilevel"/>
    <w:tmpl w:val="4B7C5434"/>
    <w:lvl w:ilvl="0" w:tplc="DC8C6E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F837599"/>
    <w:multiLevelType w:val="hybridMultilevel"/>
    <w:tmpl w:val="1FEE5AFA"/>
    <w:lvl w:ilvl="0" w:tplc="FED031A6">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
    <w:nsid w:val="62F17E27"/>
    <w:multiLevelType w:val="hybridMultilevel"/>
    <w:tmpl w:val="F370A3EA"/>
    <w:lvl w:ilvl="0" w:tplc="6B26286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BC521E"/>
    <w:multiLevelType w:val="hybridMultilevel"/>
    <w:tmpl w:val="2EC20EF8"/>
    <w:lvl w:ilvl="0" w:tplc="42F298C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nsid w:val="72A31A43"/>
    <w:multiLevelType w:val="hybridMultilevel"/>
    <w:tmpl w:val="46D23740"/>
    <w:lvl w:ilvl="0" w:tplc="1A06B0C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nsid w:val="7F7E5DE5"/>
    <w:multiLevelType w:val="hybridMultilevel"/>
    <w:tmpl w:val="027801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7"/>
  </w:num>
  <w:num w:numId="3">
    <w:abstractNumId w:val="10"/>
  </w:num>
  <w:num w:numId="4">
    <w:abstractNumId w:val="5"/>
  </w:num>
  <w:num w:numId="5">
    <w:abstractNumId w:val="11"/>
  </w:num>
  <w:num w:numId="6">
    <w:abstractNumId w:val="14"/>
  </w:num>
  <w:num w:numId="7">
    <w:abstractNumId w:val="1"/>
  </w:num>
  <w:num w:numId="8">
    <w:abstractNumId w:val="2"/>
  </w:num>
  <w:num w:numId="9">
    <w:abstractNumId w:val="4"/>
  </w:num>
  <w:num w:numId="10">
    <w:abstractNumId w:val="7"/>
  </w:num>
  <w:num w:numId="11">
    <w:abstractNumId w:val="3"/>
  </w:num>
  <w:num w:numId="12">
    <w:abstractNumId w:val="12"/>
  </w:num>
  <w:num w:numId="13">
    <w:abstractNumId w:val="0"/>
  </w:num>
  <w:num w:numId="14">
    <w:abstractNumId w:val="15"/>
  </w:num>
  <w:num w:numId="15">
    <w:abstractNumId w:val="8"/>
  </w:num>
  <w:num w:numId="16">
    <w:abstractNumId w:val="9"/>
  </w:num>
  <w:num w:numId="17">
    <w:abstractNumId w:val="16"/>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30BC3"/>
    <w:rsid w:val="0003163F"/>
    <w:rsid w:val="00031C57"/>
    <w:rsid w:val="0004653B"/>
    <w:rsid w:val="00057207"/>
    <w:rsid w:val="0006556F"/>
    <w:rsid w:val="0006583E"/>
    <w:rsid w:val="00072A44"/>
    <w:rsid w:val="00075797"/>
    <w:rsid w:val="00090ACC"/>
    <w:rsid w:val="00092A04"/>
    <w:rsid w:val="00095738"/>
    <w:rsid w:val="000A2B35"/>
    <w:rsid w:val="000B305A"/>
    <w:rsid w:val="000D1273"/>
    <w:rsid w:val="000D14CE"/>
    <w:rsid w:val="000D4DD8"/>
    <w:rsid w:val="00116C99"/>
    <w:rsid w:val="001202DD"/>
    <w:rsid w:val="001214B1"/>
    <w:rsid w:val="00126090"/>
    <w:rsid w:val="00136A94"/>
    <w:rsid w:val="00150E44"/>
    <w:rsid w:val="001531CF"/>
    <w:rsid w:val="00172331"/>
    <w:rsid w:val="001764F7"/>
    <w:rsid w:val="00182FC4"/>
    <w:rsid w:val="001914B6"/>
    <w:rsid w:val="00196ECA"/>
    <w:rsid w:val="001A0A9E"/>
    <w:rsid w:val="001E092F"/>
    <w:rsid w:val="001E0BBF"/>
    <w:rsid w:val="001E51EF"/>
    <w:rsid w:val="001E6B56"/>
    <w:rsid w:val="00216605"/>
    <w:rsid w:val="002243EF"/>
    <w:rsid w:val="0025164A"/>
    <w:rsid w:val="002A7706"/>
    <w:rsid w:val="002B1061"/>
    <w:rsid w:val="002B28EF"/>
    <w:rsid w:val="002B460A"/>
    <w:rsid w:val="002D42BC"/>
    <w:rsid w:val="002E3033"/>
    <w:rsid w:val="002E71B4"/>
    <w:rsid w:val="0030715D"/>
    <w:rsid w:val="00307336"/>
    <w:rsid w:val="003311B2"/>
    <w:rsid w:val="00333086"/>
    <w:rsid w:val="0034604A"/>
    <w:rsid w:val="00347BEC"/>
    <w:rsid w:val="00374519"/>
    <w:rsid w:val="0037578F"/>
    <w:rsid w:val="0037583D"/>
    <w:rsid w:val="003768E0"/>
    <w:rsid w:val="00381FB6"/>
    <w:rsid w:val="00387809"/>
    <w:rsid w:val="00390FB6"/>
    <w:rsid w:val="003A1009"/>
    <w:rsid w:val="003B6040"/>
    <w:rsid w:val="003C4FE3"/>
    <w:rsid w:val="003D36F8"/>
    <w:rsid w:val="003D3BE1"/>
    <w:rsid w:val="003E40E6"/>
    <w:rsid w:val="003F084B"/>
    <w:rsid w:val="003F3AC0"/>
    <w:rsid w:val="0040148A"/>
    <w:rsid w:val="0041666D"/>
    <w:rsid w:val="00436935"/>
    <w:rsid w:val="00436CB0"/>
    <w:rsid w:val="00445145"/>
    <w:rsid w:val="00446E82"/>
    <w:rsid w:val="00446ED0"/>
    <w:rsid w:val="0045005E"/>
    <w:rsid w:val="004542C2"/>
    <w:rsid w:val="00454B17"/>
    <w:rsid w:val="004730C8"/>
    <w:rsid w:val="004775D2"/>
    <w:rsid w:val="00477FF8"/>
    <w:rsid w:val="004914B4"/>
    <w:rsid w:val="004A4F90"/>
    <w:rsid w:val="004A5AE2"/>
    <w:rsid w:val="004B2C4D"/>
    <w:rsid w:val="004C7EE4"/>
    <w:rsid w:val="004D222E"/>
    <w:rsid w:val="004D486C"/>
    <w:rsid w:val="004E45C3"/>
    <w:rsid w:val="004E55A3"/>
    <w:rsid w:val="005015D1"/>
    <w:rsid w:val="00511439"/>
    <w:rsid w:val="00514FC1"/>
    <w:rsid w:val="00540E34"/>
    <w:rsid w:val="00553C6C"/>
    <w:rsid w:val="00555E2D"/>
    <w:rsid w:val="00574541"/>
    <w:rsid w:val="00582276"/>
    <w:rsid w:val="00586E19"/>
    <w:rsid w:val="005904E0"/>
    <w:rsid w:val="00592E18"/>
    <w:rsid w:val="005A3997"/>
    <w:rsid w:val="005A46A2"/>
    <w:rsid w:val="005B0179"/>
    <w:rsid w:val="005B11F1"/>
    <w:rsid w:val="005B3DF6"/>
    <w:rsid w:val="005B7124"/>
    <w:rsid w:val="005C6A7A"/>
    <w:rsid w:val="005C7EC8"/>
    <w:rsid w:val="005D0EC0"/>
    <w:rsid w:val="005E54CF"/>
    <w:rsid w:val="005E7E56"/>
    <w:rsid w:val="005F2711"/>
    <w:rsid w:val="005F3628"/>
    <w:rsid w:val="005F7114"/>
    <w:rsid w:val="00605DC9"/>
    <w:rsid w:val="00607C5C"/>
    <w:rsid w:val="00611831"/>
    <w:rsid w:val="006254BD"/>
    <w:rsid w:val="00631064"/>
    <w:rsid w:val="00633CA5"/>
    <w:rsid w:val="00636988"/>
    <w:rsid w:val="00636D9A"/>
    <w:rsid w:val="00651B12"/>
    <w:rsid w:val="00664F5A"/>
    <w:rsid w:val="00666BE0"/>
    <w:rsid w:val="006A39E9"/>
    <w:rsid w:val="006B6BE4"/>
    <w:rsid w:val="006D307C"/>
    <w:rsid w:val="006E2DC5"/>
    <w:rsid w:val="007142C4"/>
    <w:rsid w:val="00726FFC"/>
    <w:rsid w:val="00730BC3"/>
    <w:rsid w:val="00743876"/>
    <w:rsid w:val="00743F7C"/>
    <w:rsid w:val="00745345"/>
    <w:rsid w:val="00750E7F"/>
    <w:rsid w:val="007547FD"/>
    <w:rsid w:val="00771710"/>
    <w:rsid w:val="00771882"/>
    <w:rsid w:val="007779C4"/>
    <w:rsid w:val="00780400"/>
    <w:rsid w:val="0078179A"/>
    <w:rsid w:val="0079057D"/>
    <w:rsid w:val="007A050E"/>
    <w:rsid w:val="007A646F"/>
    <w:rsid w:val="007B108C"/>
    <w:rsid w:val="007B403B"/>
    <w:rsid w:val="007B57CA"/>
    <w:rsid w:val="007C1E66"/>
    <w:rsid w:val="007C2DB4"/>
    <w:rsid w:val="007C3491"/>
    <w:rsid w:val="007C3FEB"/>
    <w:rsid w:val="007C7DDC"/>
    <w:rsid w:val="007E0857"/>
    <w:rsid w:val="00802302"/>
    <w:rsid w:val="008269CD"/>
    <w:rsid w:val="00830527"/>
    <w:rsid w:val="008415BF"/>
    <w:rsid w:val="00841BC4"/>
    <w:rsid w:val="0084568A"/>
    <w:rsid w:val="00854EF9"/>
    <w:rsid w:val="008569F6"/>
    <w:rsid w:val="008571A6"/>
    <w:rsid w:val="00866AF9"/>
    <w:rsid w:val="008A623C"/>
    <w:rsid w:val="008B4521"/>
    <w:rsid w:val="008C169E"/>
    <w:rsid w:val="008C2FF0"/>
    <w:rsid w:val="008C40E6"/>
    <w:rsid w:val="008D73E0"/>
    <w:rsid w:val="008E219A"/>
    <w:rsid w:val="008E6D99"/>
    <w:rsid w:val="0091759B"/>
    <w:rsid w:val="00933DE8"/>
    <w:rsid w:val="00934EA0"/>
    <w:rsid w:val="009432FA"/>
    <w:rsid w:val="009575B0"/>
    <w:rsid w:val="00971A47"/>
    <w:rsid w:val="00994CF5"/>
    <w:rsid w:val="00995173"/>
    <w:rsid w:val="009A5EC3"/>
    <w:rsid w:val="009B495F"/>
    <w:rsid w:val="009C0904"/>
    <w:rsid w:val="009C1FAC"/>
    <w:rsid w:val="009C45FF"/>
    <w:rsid w:val="009D007D"/>
    <w:rsid w:val="009D4FCA"/>
    <w:rsid w:val="009E04EA"/>
    <w:rsid w:val="009E0C71"/>
    <w:rsid w:val="009F6A4F"/>
    <w:rsid w:val="00A214CD"/>
    <w:rsid w:val="00A37DD8"/>
    <w:rsid w:val="00A4194A"/>
    <w:rsid w:val="00A64FC9"/>
    <w:rsid w:val="00A846FC"/>
    <w:rsid w:val="00A875F7"/>
    <w:rsid w:val="00A909FB"/>
    <w:rsid w:val="00A914D9"/>
    <w:rsid w:val="00A92817"/>
    <w:rsid w:val="00A94EBE"/>
    <w:rsid w:val="00AA57C5"/>
    <w:rsid w:val="00AB4B64"/>
    <w:rsid w:val="00AB509D"/>
    <w:rsid w:val="00AB739C"/>
    <w:rsid w:val="00AC1625"/>
    <w:rsid w:val="00AC2894"/>
    <w:rsid w:val="00AC4516"/>
    <w:rsid w:val="00AC48F6"/>
    <w:rsid w:val="00AC5517"/>
    <w:rsid w:val="00AC7980"/>
    <w:rsid w:val="00AD4C71"/>
    <w:rsid w:val="00AE3F48"/>
    <w:rsid w:val="00AE418C"/>
    <w:rsid w:val="00B013EA"/>
    <w:rsid w:val="00B01E99"/>
    <w:rsid w:val="00B06668"/>
    <w:rsid w:val="00B110A0"/>
    <w:rsid w:val="00B1209F"/>
    <w:rsid w:val="00B1685A"/>
    <w:rsid w:val="00B170F9"/>
    <w:rsid w:val="00B17F5E"/>
    <w:rsid w:val="00B26880"/>
    <w:rsid w:val="00B2779D"/>
    <w:rsid w:val="00B30E29"/>
    <w:rsid w:val="00B506B7"/>
    <w:rsid w:val="00B64E1D"/>
    <w:rsid w:val="00B70F55"/>
    <w:rsid w:val="00B73C3E"/>
    <w:rsid w:val="00B74620"/>
    <w:rsid w:val="00B8188C"/>
    <w:rsid w:val="00B83BD2"/>
    <w:rsid w:val="00B87264"/>
    <w:rsid w:val="00BA7B2D"/>
    <w:rsid w:val="00BB0887"/>
    <w:rsid w:val="00BB4E49"/>
    <w:rsid w:val="00BC517B"/>
    <w:rsid w:val="00BD062F"/>
    <w:rsid w:val="00BE3B83"/>
    <w:rsid w:val="00BF178B"/>
    <w:rsid w:val="00C06CA6"/>
    <w:rsid w:val="00C11465"/>
    <w:rsid w:val="00C21BBF"/>
    <w:rsid w:val="00C25E58"/>
    <w:rsid w:val="00C34291"/>
    <w:rsid w:val="00C42C94"/>
    <w:rsid w:val="00C674A5"/>
    <w:rsid w:val="00C8035E"/>
    <w:rsid w:val="00C81252"/>
    <w:rsid w:val="00C86320"/>
    <w:rsid w:val="00C903C6"/>
    <w:rsid w:val="00C95D6A"/>
    <w:rsid w:val="00C95DCC"/>
    <w:rsid w:val="00CA7215"/>
    <w:rsid w:val="00CB272E"/>
    <w:rsid w:val="00CB44BB"/>
    <w:rsid w:val="00CC2C44"/>
    <w:rsid w:val="00CD0257"/>
    <w:rsid w:val="00CD0752"/>
    <w:rsid w:val="00CD58C2"/>
    <w:rsid w:val="00CD7D9F"/>
    <w:rsid w:val="00CE5C70"/>
    <w:rsid w:val="00D032F8"/>
    <w:rsid w:val="00D139B1"/>
    <w:rsid w:val="00D20CAD"/>
    <w:rsid w:val="00D23DC3"/>
    <w:rsid w:val="00D46B31"/>
    <w:rsid w:val="00D5053E"/>
    <w:rsid w:val="00D52186"/>
    <w:rsid w:val="00D525C8"/>
    <w:rsid w:val="00D636C5"/>
    <w:rsid w:val="00D73357"/>
    <w:rsid w:val="00D73C81"/>
    <w:rsid w:val="00D76BD3"/>
    <w:rsid w:val="00D85417"/>
    <w:rsid w:val="00DA6B9A"/>
    <w:rsid w:val="00DC29C9"/>
    <w:rsid w:val="00DD537A"/>
    <w:rsid w:val="00DE004D"/>
    <w:rsid w:val="00E02AA7"/>
    <w:rsid w:val="00E068FA"/>
    <w:rsid w:val="00E15437"/>
    <w:rsid w:val="00E1595C"/>
    <w:rsid w:val="00E32215"/>
    <w:rsid w:val="00E50C31"/>
    <w:rsid w:val="00E51938"/>
    <w:rsid w:val="00E57A6E"/>
    <w:rsid w:val="00E81EA2"/>
    <w:rsid w:val="00EB0571"/>
    <w:rsid w:val="00EC71D5"/>
    <w:rsid w:val="00ED0FFD"/>
    <w:rsid w:val="00EF1A01"/>
    <w:rsid w:val="00F02AAA"/>
    <w:rsid w:val="00F347E4"/>
    <w:rsid w:val="00F561F7"/>
    <w:rsid w:val="00F57107"/>
    <w:rsid w:val="00F61387"/>
    <w:rsid w:val="00F61F11"/>
    <w:rsid w:val="00F63026"/>
    <w:rsid w:val="00F82D4C"/>
    <w:rsid w:val="00F86BFA"/>
    <w:rsid w:val="00F956C7"/>
    <w:rsid w:val="00F97D1D"/>
    <w:rsid w:val="00FA5B6B"/>
    <w:rsid w:val="00FB2615"/>
    <w:rsid w:val="00FD2B4D"/>
    <w:rsid w:val="00FF2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7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685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685A"/>
    <w:rPr>
      <w:rFonts w:ascii="Tahoma" w:hAnsi="Tahoma" w:cs="Tahoma"/>
      <w:sz w:val="16"/>
      <w:szCs w:val="16"/>
    </w:rPr>
  </w:style>
  <w:style w:type="paragraph" w:styleId="ListParagraph">
    <w:name w:val="List Paragraph"/>
    <w:basedOn w:val="Normal"/>
    <w:uiPriority w:val="34"/>
    <w:qFormat/>
    <w:rsid w:val="000D14CE"/>
    <w:pPr>
      <w:ind w:left="720"/>
      <w:contextualSpacing/>
    </w:pPr>
  </w:style>
  <w:style w:type="paragraph" w:styleId="Header">
    <w:name w:val="header"/>
    <w:basedOn w:val="Normal"/>
    <w:link w:val="HeaderChar"/>
    <w:uiPriority w:val="99"/>
    <w:semiHidden/>
    <w:unhideWhenUsed/>
    <w:rsid w:val="00582276"/>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582276"/>
  </w:style>
  <w:style w:type="paragraph" w:styleId="Footer">
    <w:name w:val="footer"/>
    <w:basedOn w:val="Normal"/>
    <w:link w:val="FooterChar"/>
    <w:uiPriority w:val="99"/>
    <w:unhideWhenUsed/>
    <w:rsid w:val="00582276"/>
    <w:pPr>
      <w:tabs>
        <w:tab w:val="center" w:pos="4680"/>
        <w:tab w:val="right" w:pos="9360"/>
      </w:tabs>
      <w:spacing w:line="240" w:lineRule="auto"/>
    </w:pPr>
  </w:style>
  <w:style w:type="character" w:customStyle="1" w:styleId="FooterChar">
    <w:name w:val="Footer Char"/>
    <w:basedOn w:val="DefaultParagraphFont"/>
    <w:link w:val="Footer"/>
    <w:uiPriority w:val="99"/>
    <w:rsid w:val="005822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13458</TotalTime>
  <Pages>20</Pages>
  <Words>8402</Words>
  <Characters>47898</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Tushnet</dc:creator>
  <cp:lastModifiedBy>Rebecca</cp:lastModifiedBy>
  <cp:revision>90</cp:revision>
  <cp:lastPrinted>2010-06-14T18:03:00Z</cp:lastPrinted>
  <dcterms:created xsi:type="dcterms:W3CDTF">2010-05-17T20:18:00Z</dcterms:created>
  <dcterms:modified xsi:type="dcterms:W3CDTF">2012-04-30T15:09:00Z</dcterms:modified>
</cp:coreProperties>
</file>