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000" w:rsidRDefault="0030006E">
      <w:pPr>
        <w:widowControl w:val="0"/>
        <w:autoSpaceDE w:val="0"/>
        <w:autoSpaceDN w:val="0"/>
        <w:adjustRightInd w:val="0"/>
        <w:spacing w:after="0" w:line="240" w:lineRule="auto"/>
        <w:rPr>
          <w:rFonts w:ascii="Times New Roman" w:hAnsi="Times New Roman" w:cs="Times New Roman"/>
          <w:sz w:val="24"/>
          <w:szCs w:val="24"/>
        </w:rPr>
        <w:sectPr w:rsidR="00000000">
          <w:headerReference w:type="default" r:id="rId8"/>
          <w:footerReference w:type="default" r:id="rId9"/>
          <w:pgSz w:w="12240" w:h="15840"/>
          <w:pgMar w:top="2520" w:right="1440" w:bottom="1800" w:left="1440" w:header="720" w:footer="720" w:gutter="0"/>
          <w:pgNumType w:start="1"/>
          <w:cols w:space="720"/>
          <w:noEndnote/>
        </w:sectPr>
      </w:pPr>
    </w:p>
    <w:p w:rsidR="00000000" w:rsidRDefault="0030006E">
      <w:pPr>
        <w:widowControl w:val="0"/>
        <w:autoSpaceDE w:val="0"/>
        <w:autoSpaceDN w:val="0"/>
        <w:adjustRightInd w:val="0"/>
        <w:spacing w:after="0" w:line="240" w:lineRule="auto"/>
        <w:rPr>
          <w:rFonts w:ascii="Times New Roman" w:hAnsi="Times New Roman" w:cs="Times New Roman"/>
          <w:sz w:val="24"/>
          <w:szCs w:val="24"/>
        </w:rPr>
        <w:sectPr w:rsidR="00000000">
          <w:headerReference w:type="default" r:id="rId10"/>
          <w:footerReference w:type="default" r:id="rId11"/>
          <w:type w:val="continuous"/>
          <w:pgSz w:w="12240" w:h="15840"/>
          <w:pgMar w:top="2016" w:right="1440" w:bottom="1800" w:left="1440" w:header="720" w:footer="720" w:gutter="0"/>
          <w:cols w:space="720"/>
          <w:noEndnote/>
        </w:sectPr>
      </w:pP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bookmarkStart w:id="0" w:name="Document0zzSDUNumber1"/>
      <w:bookmarkEnd w:id="0"/>
      <w:r>
        <w:rPr>
          <w:rFonts w:ascii="Times New Roman" w:hAnsi="Times New Roman" w:cs="Times New Roman"/>
          <w:color w:val="000000"/>
          <w:sz w:val="24"/>
          <w:szCs w:val="24"/>
        </w:rPr>
        <w:lastRenderedPageBreak/>
        <w:t xml:space="preserve">For Opinion See </w:t>
      </w:r>
      <w:hyperlink r:id="rId12" w:history="1">
        <w:r>
          <w:rPr>
            <w:rFonts w:ascii="Times New Roman" w:hAnsi="Times New Roman" w:cs="Times New Roman"/>
            <w:color w:val="0000FF"/>
            <w:sz w:val="24"/>
            <w:szCs w:val="24"/>
          </w:rPr>
          <w:t>134 S.Ct. 895</w:t>
        </w:r>
      </w:hyperlink>
      <w:r>
        <w:rPr>
          <w:rFonts w:ascii="Times New Roman" w:hAnsi="Times New Roman" w:cs="Times New Roman"/>
          <w:color w:val="000000"/>
          <w:sz w:val="24"/>
          <w:szCs w:val="24"/>
        </w:rPr>
        <w:t xml:space="preserve"> , </w:t>
      </w:r>
      <w:hyperlink r:id="rId13" w:history="1">
        <w:r>
          <w:rPr>
            <w:rFonts w:ascii="Times New Roman" w:hAnsi="Times New Roman" w:cs="Times New Roman"/>
            <w:color w:val="0000FF"/>
            <w:sz w:val="24"/>
            <w:szCs w:val="24"/>
          </w:rPr>
          <w:t>133 S.Ct. 1656</w:t>
        </w:r>
      </w:hyperlink>
      <w:r>
        <w:rPr>
          <w:rFonts w:ascii="Times New Roman" w:hAnsi="Times New Roman" w:cs="Times New Roman"/>
          <w:color w:val="000000"/>
          <w:sz w:val="24"/>
          <w:szCs w:val="24"/>
        </w:rPr>
        <w:t xml:space="preserve"> </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r>
        <w:rPr>
          <w:rFonts w:ascii="Times New Roman" w:hAnsi="Times New Roman" w:cs="Times New Roman"/>
          <w:color w:val="000000"/>
          <w:sz w:val="24"/>
          <w:szCs w:val="24"/>
        </w:rPr>
        <w:t>U.S.,2014.</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Supreme Court of the United States.</w:t>
      </w:r>
    </w:p>
    <w:p w:rsidR="00000000" w:rsidRDefault="0030006E">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 POM WONDERFUL LLC, Petitioner,</w:t>
      </w:r>
    </w:p>
    <w:p w:rsidR="00000000" w:rsidRDefault="0030006E">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v.</w:t>
      </w:r>
    </w:p>
    <w:p w:rsidR="00000000" w:rsidRDefault="0030006E">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THE COCA-COLA COMPANY, Respondent.</w:t>
      </w:r>
    </w:p>
    <w:p w:rsidR="00000000" w:rsidRDefault="0030006E">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No. 12-761.</w:t>
      </w:r>
    </w:p>
    <w:p w:rsidR="00000000" w:rsidRDefault="0030006E">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March 3, 2014.</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On Writ of Certiorari to the United States Court of Appeals for the Ninth Circuit</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Brief for Amicus Curiae International Trademark Association in Support of Petitioner</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14" w:history="1">
        <w:r>
          <w:rPr>
            <w:rFonts w:ascii="Times New Roman" w:hAnsi="Times New Roman" w:cs="Times New Roman"/>
            <w:color w:val="0000FF"/>
            <w:sz w:val="24"/>
            <w:szCs w:val="24"/>
          </w:rPr>
          <w:t>Steven B. Pokotilow</w:t>
        </w:r>
      </w:hyperlink>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Madelon L. Witte</w:t>
      </w: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Stroock &amp; Stroock &amp; Lavan</w:t>
      </w: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180 Maiden Lane, Fl. 17</w:t>
      </w: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New York, N.Y. 10038</w:t>
      </w: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(212) 806-6663</w:t>
      </w: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15" w:history="1">
        <w:r>
          <w:rPr>
            <w:rFonts w:ascii="Times New Roman" w:hAnsi="Times New Roman" w:cs="Times New Roman"/>
            <w:color w:val="0000FF"/>
            <w:sz w:val="24"/>
            <w:szCs w:val="24"/>
          </w:rPr>
          <w:t>Adam Lindquist Scoville</w:t>
        </w:r>
      </w:hyperlink>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RE/MAX, LLC</w:t>
      </w: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5075 S. Syracuse St.</w:t>
      </w: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Denver, Colorado 80237</w:t>
      </w: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(303) 796-3609</w:t>
      </w: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16" w:history="1">
        <w:r>
          <w:rPr>
            <w:rFonts w:ascii="Times New Roman" w:hAnsi="Times New Roman" w:cs="Times New Roman"/>
            <w:color w:val="0000FF"/>
            <w:sz w:val="24"/>
            <w:szCs w:val="24"/>
          </w:rPr>
          <w:t>Saul H. Perloff</w:t>
        </w:r>
      </w:hyperlink>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Counsel of Record</w:t>
      </w: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Fulbright &amp; Jaworski LLP</w:t>
      </w: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300 Convent St.</w:t>
      </w: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San Antonio, Texas 78205</w:t>
      </w: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(210) 270-7166</w:t>
      </w: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saul.perloff@nortonrosefulbright.com</w:t>
      </w: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17" w:history="1">
        <w:r>
          <w:rPr>
            <w:rFonts w:ascii="Times New Roman" w:hAnsi="Times New Roman" w:cs="Times New Roman"/>
            <w:color w:val="0000FF"/>
            <w:sz w:val="24"/>
            <w:szCs w:val="24"/>
          </w:rPr>
          <w:t>Michael S. Metteauer</w:t>
        </w:r>
      </w:hyperlink>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Fulbright &amp; Jaworski LLP</w:t>
      </w: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98 San Jacinto Boulevard</w:t>
      </w: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Austin, Texas 78701</w:t>
      </w: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(512) 536-3026</w:t>
      </w: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18" w:history="1">
        <w:r>
          <w:rPr>
            <w:rFonts w:ascii="Times New Roman" w:hAnsi="Times New Roman" w:cs="Times New Roman"/>
            <w:color w:val="0000FF"/>
            <w:sz w:val="24"/>
            <w:szCs w:val="24"/>
          </w:rPr>
          <w:t>Mark Emery</w:t>
        </w:r>
      </w:hyperlink>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Fulbright &amp; Jaworski LLP</w:t>
      </w: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801 Pennsylvania Av</w:t>
      </w:r>
      <w:r>
        <w:rPr>
          <w:rFonts w:ascii="Times New Roman" w:hAnsi="Times New Roman" w:cs="Times New Roman"/>
          <w:color w:val="000000"/>
          <w:sz w:val="24"/>
          <w:szCs w:val="24"/>
        </w:rPr>
        <w:t>e. N.W.</w:t>
      </w: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Washington, D.C. 20004</w:t>
      </w: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(202) 662-0210</w:t>
      </w: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Counsel for Amicus Curiae</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b/>
          <w:bCs/>
          <w:color w:val="000000"/>
          <w:sz w:val="24"/>
          <w:szCs w:val="24"/>
        </w:rPr>
        <w:t>*i</w:t>
      </w:r>
      <w:r>
        <w:rPr>
          <w:rFonts w:ascii="Times New Roman" w:hAnsi="Times New Roman" w:cs="Times New Roman"/>
          <w:color w:val="000000"/>
          <w:sz w:val="24"/>
          <w:szCs w:val="24"/>
        </w:rPr>
        <w:t xml:space="preserve"> TABLE OF CONTENTS</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TABLE OF AUTHORITIES ... ii</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INTEREST OF AMICUS CURIAE ... 1</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SUMMARY OF THE ARGUMENT ... 3</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ARGUMENT ... 5</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I. THE NINTH CIRCUITS DECISION ERRONEOUSLY ELIMINATE</w:t>
      </w:r>
      <w:r>
        <w:rPr>
          <w:rFonts w:ascii="Times New Roman" w:hAnsi="Times New Roman" w:cs="Times New Roman"/>
          <w:color w:val="000000"/>
          <w:sz w:val="24"/>
          <w:szCs w:val="24"/>
        </w:rPr>
        <w:t>S AN IMPORTANT TOOL FOR COMBATTING FALSE OR MISLEADING ADVERTISING AND PROMOTING A FAIR MARKETPLACE ... 5</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A. The Lanham Act And The FDCA Have Different Purposes ... 6</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B. The Ninth Circuit's Decision Fails To Identify Any Irreconcilable Conflict Between Section 43(a) And The FDCAs Misbranding Scheme ... 13</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 The Lanham Act And The FDCA Work In Tandem ... 18</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II. PREVENTING PRIVATE LANHAM ACT SUITS WOULD HAVE FARREACHIN</w:t>
      </w:r>
      <w:r>
        <w:rPr>
          <w:rFonts w:ascii="Times New Roman" w:hAnsi="Times New Roman" w:cs="Times New Roman"/>
          <w:color w:val="000000"/>
          <w:sz w:val="24"/>
          <w:szCs w:val="24"/>
        </w:rPr>
        <w:t>G I</w:t>
      </w:r>
      <w:r>
        <w:rPr>
          <w:rFonts w:ascii="Times New Roman" w:hAnsi="Times New Roman" w:cs="Times New Roman"/>
          <w:color w:val="000000"/>
          <w:sz w:val="24"/>
          <w:szCs w:val="24"/>
        </w:rPr>
        <w:t>M</w:t>
      </w:r>
      <w:r>
        <w:rPr>
          <w:rFonts w:ascii="Times New Roman" w:hAnsi="Times New Roman" w:cs="Times New Roman"/>
          <w:color w:val="000000"/>
          <w:sz w:val="24"/>
          <w:szCs w:val="24"/>
        </w:rPr>
        <w:t>PLICATIONS FOR THE PROTECTION OF CONSUMERS ... 23</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CONCLUSION ... 27</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b/>
          <w:bCs/>
          <w:color w:val="000000"/>
          <w:sz w:val="24"/>
          <w:szCs w:val="24"/>
        </w:rPr>
        <w:t>*ii</w:t>
      </w:r>
      <w:r>
        <w:rPr>
          <w:rFonts w:ascii="Times New Roman" w:hAnsi="Times New Roman" w:cs="Times New Roman"/>
          <w:color w:val="000000"/>
          <w:sz w:val="24"/>
          <w:szCs w:val="24"/>
        </w:rPr>
        <w:t xml:space="preserve"> TABLE OF AUTHORITIES</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CASES:</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19" w:history="1">
        <w:r>
          <w:rPr>
            <w:rFonts w:ascii="Times New Roman" w:hAnsi="Times New Roman" w:cs="Times New Roman"/>
            <w:i/>
            <w:iCs/>
            <w:color w:val="0000FF"/>
            <w:sz w:val="24"/>
            <w:szCs w:val="24"/>
          </w:rPr>
          <w:t>All One God Faith, Inc. v. Hain Celest</w:t>
        </w:r>
        <w:r>
          <w:rPr>
            <w:rFonts w:ascii="Times New Roman" w:hAnsi="Times New Roman" w:cs="Times New Roman"/>
            <w:i/>
            <w:iCs/>
            <w:color w:val="0000FF"/>
            <w:sz w:val="24"/>
            <w:szCs w:val="24"/>
          </w:rPr>
          <w:t>ial Grp., Inc.,</w:t>
        </w:r>
      </w:hyperlink>
      <w:hyperlink r:id="rId20" w:history="1">
        <w:r>
          <w:rPr>
            <w:rFonts w:ascii="Times New Roman" w:hAnsi="Times New Roman" w:cs="Times New Roman"/>
            <w:color w:val="0000FF"/>
            <w:sz w:val="24"/>
            <w:szCs w:val="24"/>
          </w:rPr>
          <w:t xml:space="preserve"> No. 09-3517, 2012 WL 3257660 (N.D. Cal. Aug. 8, 2012)</w:t>
        </w:r>
      </w:hyperlink>
      <w:r>
        <w:rPr>
          <w:rFonts w:ascii="Times New Roman" w:hAnsi="Times New Roman" w:cs="Times New Roman"/>
          <w:color w:val="000000"/>
          <w:sz w:val="24"/>
          <w:szCs w:val="24"/>
        </w:rPr>
        <w:t xml:space="preserve"> ... 25</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21" w:history="1">
        <w:r>
          <w:rPr>
            <w:rFonts w:ascii="Times New Roman" w:hAnsi="Times New Roman" w:cs="Times New Roman"/>
            <w:i/>
            <w:iCs/>
            <w:color w:val="0000FF"/>
            <w:sz w:val="24"/>
            <w:szCs w:val="24"/>
          </w:rPr>
          <w:t>Allsup, Inc. v. Advantage 2000 Consultants, Inc.,</w:t>
        </w:r>
      </w:hyperlink>
      <w:hyperlink r:id="rId22" w:history="1">
        <w:r>
          <w:rPr>
            <w:rFonts w:ascii="Times New Roman" w:hAnsi="Times New Roman" w:cs="Times New Roman"/>
            <w:color w:val="0000FF"/>
            <w:sz w:val="24"/>
            <w:szCs w:val="24"/>
          </w:rPr>
          <w:t xml:space="preserve"> 428 F.3d 1135 (8th Cir. 2005)</w:t>
        </w:r>
      </w:hyperlink>
      <w:r>
        <w:rPr>
          <w:rFonts w:ascii="Times New Roman" w:hAnsi="Times New Roman" w:cs="Times New Roman"/>
          <w:color w:val="000000"/>
          <w:sz w:val="24"/>
          <w:szCs w:val="24"/>
        </w:rPr>
        <w:t xml:space="preserve"> ... 8</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23" w:history="1">
        <w:r>
          <w:rPr>
            <w:rFonts w:ascii="Times New Roman" w:hAnsi="Times New Roman" w:cs="Times New Roman"/>
            <w:i/>
            <w:iCs/>
            <w:color w:val="0000FF"/>
            <w:sz w:val="24"/>
            <w:szCs w:val="24"/>
          </w:rPr>
          <w:t>Alpharma Inc. v. Pennfield Oil Co.,</w:t>
        </w:r>
      </w:hyperlink>
      <w:hyperlink r:id="rId24" w:history="1">
        <w:r>
          <w:rPr>
            <w:rFonts w:ascii="Times New Roman" w:hAnsi="Times New Roman" w:cs="Times New Roman"/>
            <w:color w:val="0000FF"/>
            <w:sz w:val="24"/>
            <w:szCs w:val="24"/>
          </w:rPr>
          <w:t xml:space="preserve"> 411 F.3d 934 (8th Cir. 2005)</w:t>
        </w:r>
      </w:hyperlink>
      <w:r>
        <w:rPr>
          <w:rFonts w:ascii="Times New Roman" w:hAnsi="Times New Roman" w:cs="Times New Roman"/>
          <w:color w:val="000000"/>
          <w:sz w:val="24"/>
          <w:szCs w:val="24"/>
        </w:rPr>
        <w:t xml:space="preserve"> ... 15, 18</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25" w:history="1">
        <w:r>
          <w:rPr>
            <w:rFonts w:ascii="Times New Roman" w:hAnsi="Times New Roman" w:cs="Times New Roman"/>
            <w:i/>
            <w:iCs/>
            <w:color w:val="0000FF"/>
            <w:sz w:val="24"/>
            <w:szCs w:val="24"/>
          </w:rPr>
          <w:t>Already, LLC v. Nike, Inc.,</w:t>
        </w:r>
      </w:hyperlink>
      <w:hyperlink r:id="rId26" w:history="1">
        <w:r>
          <w:rPr>
            <w:rFonts w:ascii="Times New Roman" w:hAnsi="Times New Roman" w:cs="Times New Roman"/>
            <w:color w:val="0000FF"/>
            <w:sz w:val="24"/>
            <w:szCs w:val="24"/>
          </w:rPr>
          <w:t xml:space="preserve"> 133 S. Ct. 721 (2013)</w:t>
        </w:r>
      </w:hyperlink>
      <w:r>
        <w:rPr>
          <w:rFonts w:ascii="Times New Roman" w:hAnsi="Times New Roman" w:cs="Times New Roman"/>
          <w:color w:val="000000"/>
          <w:sz w:val="24"/>
          <w:szCs w:val="24"/>
        </w:rPr>
        <w:t xml:space="preserve"> ... 2</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27" w:history="1">
        <w:r>
          <w:rPr>
            <w:rFonts w:ascii="Times New Roman" w:hAnsi="Times New Roman" w:cs="Times New Roman"/>
            <w:i/>
            <w:iCs/>
            <w:color w:val="0000FF"/>
            <w:sz w:val="24"/>
            <w:szCs w:val="24"/>
          </w:rPr>
          <w:t>Ames Pub. Co. v</w:t>
        </w:r>
        <w:r>
          <w:rPr>
            <w:rFonts w:ascii="Times New Roman" w:hAnsi="Times New Roman" w:cs="Times New Roman"/>
            <w:i/>
            <w:iCs/>
            <w:color w:val="0000FF"/>
            <w:sz w:val="24"/>
            <w:szCs w:val="24"/>
          </w:rPr>
          <w:t>. Walker-Davis Publ'ns, Inc.,</w:t>
        </w:r>
      </w:hyperlink>
      <w:hyperlink r:id="rId28" w:history="1">
        <w:r>
          <w:rPr>
            <w:rFonts w:ascii="Times New Roman" w:hAnsi="Times New Roman" w:cs="Times New Roman"/>
            <w:color w:val="0000FF"/>
            <w:sz w:val="24"/>
            <w:szCs w:val="24"/>
          </w:rPr>
          <w:t xml:space="preserve"> 372 F. Supp. 1 (E.D. Pa. 1974)</w:t>
        </w:r>
      </w:hyperlink>
      <w:r>
        <w:rPr>
          <w:rFonts w:ascii="Times New Roman" w:hAnsi="Times New Roman" w:cs="Times New Roman"/>
          <w:color w:val="000000"/>
          <w:sz w:val="24"/>
          <w:szCs w:val="24"/>
        </w:rPr>
        <w:t xml:space="preserve"> ... 24</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29" w:history="1">
        <w:r>
          <w:rPr>
            <w:rFonts w:ascii="Times New Roman" w:hAnsi="Times New Roman" w:cs="Times New Roman"/>
            <w:i/>
            <w:iCs/>
            <w:color w:val="0000FF"/>
            <w:sz w:val="24"/>
            <w:szCs w:val="24"/>
          </w:rPr>
          <w:t>AT &amp; T v. Winback and Conserve Program, Inc.,</w:t>
        </w:r>
      </w:hyperlink>
      <w:hyperlink r:id="rId30" w:history="1">
        <w:r>
          <w:rPr>
            <w:rFonts w:ascii="Times New Roman" w:hAnsi="Times New Roman" w:cs="Times New Roman"/>
            <w:color w:val="0000FF"/>
            <w:sz w:val="24"/>
            <w:szCs w:val="24"/>
          </w:rPr>
          <w:t xml:space="preserve"> 42 F.3d 1421 (3d Cir. 1994)</w:t>
        </w:r>
      </w:hyperlink>
      <w:r>
        <w:rPr>
          <w:rFonts w:ascii="Times New Roman" w:hAnsi="Times New Roman" w:cs="Times New Roman"/>
          <w:color w:val="000000"/>
          <w:sz w:val="24"/>
          <w:szCs w:val="24"/>
        </w:rPr>
        <w:t xml:space="preserve"> ... 7</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31" w:history="1">
        <w:r>
          <w:rPr>
            <w:rFonts w:ascii="Times New Roman" w:hAnsi="Times New Roman" w:cs="Times New Roman"/>
            <w:i/>
            <w:iCs/>
            <w:color w:val="0000FF"/>
            <w:sz w:val="24"/>
            <w:szCs w:val="24"/>
          </w:rPr>
          <w:t>Balance Dynamics Corp. v. Schmitt Indus.,</w:t>
        </w:r>
      </w:hyperlink>
      <w:hyperlink r:id="rId32" w:history="1">
        <w:r>
          <w:rPr>
            <w:rFonts w:ascii="Times New Roman" w:hAnsi="Times New Roman" w:cs="Times New Roman"/>
            <w:color w:val="0000FF"/>
            <w:sz w:val="24"/>
            <w:szCs w:val="24"/>
          </w:rPr>
          <w:t xml:space="preserve"> 204 F.3d 683 (6th Cir. 2000)</w:t>
        </w:r>
      </w:hyperlink>
      <w:r>
        <w:rPr>
          <w:rFonts w:ascii="Times New Roman" w:hAnsi="Times New Roman" w:cs="Times New Roman"/>
          <w:color w:val="000000"/>
          <w:sz w:val="24"/>
          <w:szCs w:val="24"/>
        </w:rPr>
        <w:t xml:space="preserve"> ... 11</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33" w:history="1">
        <w:r>
          <w:rPr>
            <w:rFonts w:ascii="Times New Roman" w:hAnsi="Times New Roman" w:cs="Times New Roman"/>
            <w:i/>
            <w:iCs/>
            <w:color w:val="0000FF"/>
            <w:sz w:val="24"/>
            <w:szCs w:val="24"/>
          </w:rPr>
          <w:t>Branch v. Smith,</w:t>
        </w:r>
      </w:hyperlink>
      <w:hyperlink r:id="rId34" w:history="1">
        <w:r>
          <w:rPr>
            <w:rFonts w:ascii="Times New Roman" w:hAnsi="Times New Roman" w:cs="Times New Roman"/>
            <w:color w:val="0000FF"/>
            <w:sz w:val="24"/>
            <w:szCs w:val="24"/>
          </w:rPr>
          <w:t xml:space="preserve"> 538 U.S. 254 (2003)</w:t>
        </w:r>
      </w:hyperlink>
      <w:r>
        <w:rPr>
          <w:rFonts w:ascii="Times New Roman" w:hAnsi="Times New Roman" w:cs="Times New Roman"/>
          <w:color w:val="000000"/>
          <w:sz w:val="24"/>
          <w:szCs w:val="24"/>
        </w:rPr>
        <w:t xml:space="preserve"> ... 4, 13, 23</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35" w:history="1">
        <w:r>
          <w:rPr>
            <w:rFonts w:ascii="Times New Roman" w:hAnsi="Times New Roman" w:cs="Times New Roman"/>
            <w:i/>
            <w:iCs/>
            <w:color w:val="0000FF"/>
            <w:sz w:val="24"/>
            <w:szCs w:val="24"/>
          </w:rPr>
          <w:t>Buckman Co. v. Plaintiff</w:t>
        </w:r>
        <w:r>
          <w:rPr>
            <w:rFonts w:ascii="Times New Roman" w:hAnsi="Times New Roman" w:cs="Times New Roman"/>
            <w:i/>
            <w:iCs/>
            <w:color w:val="0000FF"/>
            <w:sz w:val="24"/>
            <w:szCs w:val="24"/>
          </w:rPr>
          <w:t>s' Legal Comm.,</w:t>
        </w:r>
      </w:hyperlink>
      <w:hyperlink r:id="rId36" w:history="1">
        <w:r>
          <w:rPr>
            <w:rFonts w:ascii="Times New Roman" w:hAnsi="Times New Roman" w:cs="Times New Roman"/>
            <w:color w:val="0000FF"/>
            <w:sz w:val="24"/>
            <w:szCs w:val="24"/>
          </w:rPr>
          <w:t xml:space="preserve"> 531 U.S. 341 (2001)</w:t>
        </w:r>
      </w:hyperlink>
      <w:r>
        <w:rPr>
          <w:rFonts w:ascii="Times New Roman" w:hAnsi="Times New Roman" w:cs="Times New Roman"/>
          <w:color w:val="000000"/>
          <w:sz w:val="24"/>
          <w:szCs w:val="24"/>
        </w:rPr>
        <w:t xml:space="preserve"> ... 10</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*iii</w:t>
      </w:r>
      <w:r>
        <w:rPr>
          <w:rFonts w:ascii="Times New Roman" w:hAnsi="Times New Roman" w:cs="Times New Roman"/>
          <w:color w:val="000000"/>
          <w:sz w:val="24"/>
          <w:szCs w:val="24"/>
        </w:rPr>
        <w:t xml:space="preserve"> </w:t>
      </w:r>
      <w:hyperlink r:id="rId37" w:history="1">
        <w:r>
          <w:rPr>
            <w:rFonts w:ascii="Times New Roman" w:hAnsi="Times New Roman" w:cs="Times New Roman"/>
            <w:i/>
            <w:iCs/>
            <w:color w:val="0000FF"/>
            <w:sz w:val="24"/>
            <w:szCs w:val="24"/>
          </w:rPr>
          <w:t>Coca-Cola Co. v. Procter &amp; Gamble Co.,</w:t>
        </w:r>
      </w:hyperlink>
      <w:hyperlink r:id="rId38" w:history="1">
        <w:r>
          <w:rPr>
            <w:rFonts w:ascii="Times New Roman" w:hAnsi="Times New Roman" w:cs="Times New Roman"/>
            <w:color w:val="0000FF"/>
            <w:sz w:val="24"/>
            <w:szCs w:val="24"/>
          </w:rPr>
          <w:t xml:space="preserve"> 822 F.2d 28 (6th Cir. 1987)</w:t>
        </w:r>
      </w:hyperlink>
      <w:r>
        <w:rPr>
          <w:rFonts w:ascii="Times New Roman" w:hAnsi="Times New Roman" w:cs="Times New Roman"/>
          <w:color w:val="000000"/>
          <w:sz w:val="24"/>
          <w:szCs w:val="24"/>
        </w:rPr>
        <w:t xml:space="preserve"> ... 20, 24</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39" w:history="1">
        <w:r>
          <w:rPr>
            <w:rFonts w:ascii="Times New Roman" w:hAnsi="Times New Roman" w:cs="Times New Roman"/>
            <w:i/>
            <w:iCs/>
            <w:color w:val="0000FF"/>
            <w:sz w:val="24"/>
            <w:szCs w:val="24"/>
          </w:rPr>
          <w:t>Cottrell, Ltd. v. Biotrol Int'l, Inc.,</w:t>
        </w:r>
      </w:hyperlink>
      <w:hyperlink r:id="rId40" w:history="1">
        <w:r>
          <w:rPr>
            <w:rFonts w:ascii="Times New Roman" w:hAnsi="Times New Roman" w:cs="Times New Roman"/>
            <w:color w:val="0000FF"/>
            <w:sz w:val="24"/>
            <w:szCs w:val="24"/>
          </w:rPr>
          <w:t xml:space="preserve"> 191 F.3d 1248 (10th Cir. 1999)</w:t>
        </w:r>
      </w:hyperlink>
      <w:r>
        <w:rPr>
          <w:rFonts w:ascii="Times New Roman" w:hAnsi="Times New Roman" w:cs="Times New Roman"/>
          <w:color w:val="000000"/>
          <w:sz w:val="24"/>
          <w:szCs w:val="24"/>
        </w:rPr>
        <w:t xml:space="preserve"> ... 17</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41" w:history="1">
        <w:r>
          <w:rPr>
            <w:rFonts w:ascii="Times New Roman" w:hAnsi="Times New Roman" w:cs="Times New Roman"/>
            <w:i/>
            <w:iCs/>
            <w:color w:val="0000FF"/>
            <w:sz w:val="24"/>
            <w:szCs w:val="24"/>
          </w:rPr>
          <w:t>Dastar Corp. v. Twentieth Century Fox Film Corp.,</w:t>
        </w:r>
      </w:hyperlink>
      <w:hyperlink r:id="rId42" w:history="1">
        <w:r>
          <w:rPr>
            <w:rFonts w:ascii="Times New Roman" w:hAnsi="Times New Roman" w:cs="Times New Roman"/>
            <w:color w:val="0000FF"/>
            <w:sz w:val="24"/>
            <w:szCs w:val="24"/>
          </w:rPr>
          <w:t xml:space="preserve"> 539 U.S. 23 (2003)</w:t>
        </w:r>
      </w:hyperlink>
      <w:r>
        <w:rPr>
          <w:rFonts w:ascii="Times New Roman" w:hAnsi="Times New Roman" w:cs="Times New Roman"/>
          <w:color w:val="000000"/>
          <w:sz w:val="24"/>
          <w:szCs w:val="24"/>
        </w:rPr>
        <w:t xml:space="preserve"> ... 2, 7</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43" w:history="1">
        <w:r>
          <w:rPr>
            <w:rFonts w:ascii="Times New Roman" w:hAnsi="Times New Roman" w:cs="Times New Roman"/>
            <w:i/>
            <w:iCs/>
            <w:color w:val="0000FF"/>
            <w:sz w:val="24"/>
            <w:szCs w:val="24"/>
          </w:rPr>
          <w:t>Ely-Norris Safe Co. v. Mosler Safe Co.,</w:t>
        </w:r>
      </w:hyperlink>
      <w:hyperlink r:id="rId44" w:history="1">
        <w:r>
          <w:rPr>
            <w:rFonts w:ascii="Times New Roman" w:hAnsi="Times New Roman" w:cs="Times New Roman"/>
            <w:color w:val="0000FF"/>
            <w:sz w:val="24"/>
            <w:szCs w:val="24"/>
          </w:rPr>
          <w:t xml:space="preserve"> 7 F.2d 603 (2d Cir. 1925)</w:t>
        </w:r>
      </w:hyperlink>
      <w:r>
        <w:rPr>
          <w:rFonts w:ascii="Times New Roman" w:hAnsi="Times New Roman" w:cs="Times New Roman"/>
          <w:color w:val="000000"/>
          <w:sz w:val="24"/>
          <w:szCs w:val="24"/>
        </w:rPr>
        <w:t xml:space="preserve"> ... 23</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45" w:history="1">
        <w:r>
          <w:rPr>
            <w:rFonts w:ascii="Times New Roman" w:hAnsi="Times New Roman" w:cs="Times New Roman"/>
            <w:i/>
            <w:iCs/>
            <w:color w:val="0000FF"/>
            <w:sz w:val="24"/>
            <w:szCs w:val="24"/>
          </w:rPr>
          <w:t>Fla. Prepaid Postsecondary Educ. Expense Bd.</w:t>
        </w:r>
        <w:r>
          <w:rPr>
            <w:rFonts w:ascii="Times New Roman" w:hAnsi="Times New Roman" w:cs="Times New Roman"/>
            <w:i/>
            <w:iCs/>
            <w:color w:val="0000FF"/>
            <w:sz w:val="24"/>
            <w:szCs w:val="24"/>
          </w:rPr>
          <w:t xml:space="preserve"> v. Coll. Sav. Bank,</w:t>
        </w:r>
      </w:hyperlink>
      <w:hyperlink r:id="rId46" w:history="1">
        <w:r>
          <w:rPr>
            <w:rFonts w:ascii="Times New Roman" w:hAnsi="Times New Roman" w:cs="Times New Roman"/>
            <w:color w:val="0000FF"/>
            <w:sz w:val="24"/>
            <w:szCs w:val="24"/>
          </w:rPr>
          <w:t xml:space="preserve"> 527 U.S. 627 (1999)</w:t>
        </w:r>
      </w:hyperlink>
      <w:r>
        <w:rPr>
          <w:rFonts w:ascii="Times New Roman" w:hAnsi="Times New Roman" w:cs="Times New Roman"/>
          <w:color w:val="000000"/>
          <w:sz w:val="24"/>
          <w:szCs w:val="24"/>
        </w:rPr>
        <w:t xml:space="preserve"> ... 2</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47" w:history="1">
        <w:r>
          <w:rPr>
            <w:rFonts w:ascii="Times New Roman" w:hAnsi="Times New Roman" w:cs="Times New Roman"/>
            <w:i/>
            <w:iCs/>
            <w:color w:val="0000FF"/>
            <w:sz w:val="24"/>
            <w:szCs w:val="24"/>
          </w:rPr>
          <w:t>Goddard, Inc. v. Henry's Foods, Inc.,</w:t>
        </w:r>
      </w:hyperlink>
      <w:hyperlink r:id="rId48" w:history="1">
        <w:r>
          <w:rPr>
            <w:rFonts w:ascii="Times New Roman" w:hAnsi="Times New Roman" w:cs="Times New Roman"/>
            <w:color w:val="0000FF"/>
            <w:sz w:val="24"/>
            <w:szCs w:val="24"/>
          </w:rPr>
          <w:t xml:space="preserve"> 291 F. Supp. 2d 1021 (D. Minn. 2003)</w:t>
        </w:r>
      </w:hyperlink>
      <w:r>
        <w:rPr>
          <w:rFonts w:ascii="Times New Roman" w:hAnsi="Times New Roman" w:cs="Times New Roman"/>
          <w:color w:val="000000"/>
          <w:sz w:val="24"/>
          <w:szCs w:val="24"/>
        </w:rPr>
        <w:t xml:space="preserve"> ... 24</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49" w:history="1">
        <w:r>
          <w:rPr>
            <w:rFonts w:ascii="Times New Roman" w:hAnsi="Times New Roman" w:cs="Times New Roman"/>
            <w:i/>
            <w:iCs/>
            <w:color w:val="0000FF"/>
            <w:sz w:val="24"/>
            <w:szCs w:val="24"/>
          </w:rPr>
          <w:t>Hickson Corp. v. N. Crossarm Co., Inc.,</w:t>
        </w:r>
      </w:hyperlink>
      <w:hyperlink r:id="rId50" w:history="1">
        <w:r>
          <w:rPr>
            <w:rFonts w:ascii="Times New Roman" w:hAnsi="Times New Roman" w:cs="Times New Roman"/>
            <w:color w:val="0000FF"/>
            <w:sz w:val="24"/>
            <w:szCs w:val="24"/>
          </w:rPr>
          <w:t xml:space="preserve"> 357 F.3d 1256 (11th Cir. 2004)</w:t>
        </w:r>
      </w:hyperlink>
      <w:r>
        <w:rPr>
          <w:rFonts w:ascii="Times New Roman" w:hAnsi="Times New Roman" w:cs="Times New Roman"/>
          <w:color w:val="000000"/>
          <w:sz w:val="24"/>
          <w:szCs w:val="24"/>
        </w:rPr>
        <w:t xml:space="preserve"> ... 20</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51" w:history="1">
        <w:r>
          <w:rPr>
            <w:rFonts w:ascii="Times New Roman" w:hAnsi="Times New Roman" w:cs="Times New Roman"/>
            <w:i/>
            <w:iCs/>
            <w:color w:val="0000FF"/>
            <w:sz w:val="24"/>
            <w:szCs w:val="24"/>
          </w:rPr>
          <w:t>Hillsborough Cnty. v. Automated Med. Labs., Inc.,</w:t>
        </w:r>
      </w:hyperlink>
      <w:hyperlink r:id="rId52" w:history="1">
        <w:r>
          <w:rPr>
            <w:rFonts w:ascii="Times New Roman" w:hAnsi="Times New Roman" w:cs="Times New Roman"/>
            <w:color w:val="0000FF"/>
            <w:sz w:val="24"/>
            <w:szCs w:val="24"/>
          </w:rPr>
          <w:t xml:space="preserve"> 471 U.S. 707 (1985)</w:t>
        </w:r>
      </w:hyperlink>
      <w:r>
        <w:rPr>
          <w:rFonts w:ascii="Times New Roman" w:hAnsi="Times New Roman" w:cs="Times New Roman"/>
          <w:color w:val="000000"/>
          <w:sz w:val="24"/>
          <w:szCs w:val="24"/>
        </w:rPr>
        <w:t xml:space="preserve"> ... 17</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53" w:history="1">
        <w:r>
          <w:rPr>
            <w:rFonts w:ascii="Times New Roman" w:hAnsi="Times New Roman" w:cs="Times New Roman"/>
            <w:i/>
            <w:iCs/>
            <w:color w:val="0000FF"/>
            <w:sz w:val="24"/>
            <w:szCs w:val="24"/>
          </w:rPr>
          <w:t>Iams Co. v. Nutro Prods., Inc.,</w:t>
        </w:r>
      </w:hyperlink>
      <w:hyperlink r:id="rId54" w:history="1">
        <w:r>
          <w:rPr>
            <w:rFonts w:ascii="Times New Roman" w:hAnsi="Times New Roman" w:cs="Times New Roman"/>
            <w:color w:val="0000FF"/>
            <w:sz w:val="24"/>
            <w:szCs w:val="24"/>
          </w:rPr>
          <w:t xml:space="preserve"> No. C-3-00-566, 2004 WL 5780000 (S.D. Ohio July 19, 2004)</w:t>
        </w:r>
      </w:hyperlink>
      <w:r>
        <w:rPr>
          <w:rFonts w:ascii="Times New Roman" w:hAnsi="Times New Roman" w:cs="Times New Roman"/>
          <w:color w:val="000000"/>
          <w:sz w:val="24"/>
          <w:szCs w:val="24"/>
        </w:rPr>
        <w:t xml:space="preserve"> ... 12</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55" w:history="1">
        <w:r>
          <w:rPr>
            <w:rFonts w:ascii="Times New Roman" w:hAnsi="Times New Roman" w:cs="Times New Roman"/>
            <w:i/>
            <w:iCs/>
            <w:color w:val="0000FF"/>
            <w:sz w:val="24"/>
            <w:szCs w:val="24"/>
          </w:rPr>
          <w:t>In re Epogen &amp; Aranesp Off-Label Mktg. &amp; Sales Practices Litig.,</w:t>
        </w:r>
      </w:hyperlink>
      <w:hyperlink r:id="rId56" w:history="1">
        <w:r>
          <w:rPr>
            <w:rFonts w:ascii="Times New Roman" w:hAnsi="Times New Roman" w:cs="Times New Roman"/>
            <w:color w:val="0000FF"/>
            <w:sz w:val="24"/>
            <w:szCs w:val="24"/>
          </w:rPr>
          <w:t xml:space="preserve"> 590 F. Supp. 2d 1282 (CD. Cal. 2008)</w:t>
        </w:r>
      </w:hyperlink>
      <w:r>
        <w:rPr>
          <w:rFonts w:ascii="Times New Roman" w:hAnsi="Times New Roman" w:cs="Times New Roman"/>
          <w:color w:val="000000"/>
          <w:sz w:val="24"/>
          <w:szCs w:val="24"/>
        </w:rPr>
        <w:t xml:space="preserve"> ... 12</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*iv</w:t>
      </w:r>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Johnson &amp; Johnson Merck Co</w:t>
      </w:r>
      <w:r>
        <w:rPr>
          <w:rFonts w:ascii="Times New Roman" w:hAnsi="Times New Roman" w:cs="Times New Roman"/>
          <w:i/>
          <w:iCs/>
          <w:color w:val="000000"/>
          <w:sz w:val="24"/>
          <w:szCs w:val="24"/>
        </w:rPr>
        <w:t xml:space="preserve">nsumer Pharms. Co. v. </w:t>
      </w:r>
      <w:hyperlink r:id="rId57" w:history="1">
        <w:r>
          <w:rPr>
            <w:rFonts w:ascii="Times New Roman" w:hAnsi="Times New Roman" w:cs="Times New Roman"/>
            <w:i/>
            <w:iCs/>
            <w:color w:val="0000FF"/>
            <w:sz w:val="24"/>
            <w:szCs w:val="24"/>
          </w:rPr>
          <w:t>Smithkline Beecham Corp.,</w:t>
        </w:r>
      </w:hyperlink>
      <w:hyperlink r:id="rId58" w:history="1">
        <w:r>
          <w:rPr>
            <w:rFonts w:ascii="Times New Roman" w:hAnsi="Times New Roman" w:cs="Times New Roman"/>
            <w:color w:val="0000FF"/>
            <w:sz w:val="24"/>
            <w:szCs w:val="24"/>
          </w:rPr>
          <w:t xml:space="preserve"> 960 F.2d 294 (2d Cir. 1992)</w:t>
        </w:r>
      </w:hyperlink>
      <w:r>
        <w:rPr>
          <w:rFonts w:ascii="Times New Roman" w:hAnsi="Times New Roman" w:cs="Times New Roman"/>
          <w:color w:val="000000"/>
          <w:sz w:val="24"/>
          <w:szCs w:val="24"/>
        </w:rPr>
        <w:t xml:space="preserve"> ... 20</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59" w:history="1">
        <w:r>
          <w:rPr>
            <w:rFonts w:ascii="Times New Roman" w:hAnsi="Times New Roman" w:cs="Times New Roman"/>
            <w:i/>
            <w:iCs/>
            <w:color w:val="0000FF"/>
            <w:sz w:val="24"/>
            <w:szCs w:val="24"/>
          </w:rPr>
          <w:t>K Mart Corp. v. Cartier, Inc.,</w:t>
        </w:r>
      </w:hyperlink>
      <w:hyperlink r:id="rId60" w:history="1">
        <w:r>
          <w:rPr>
            <w:rFonts w:ascii="Times New Roman" w:hAnsi="Times New Roman" w:cs="Times New Roman"/>
            <w:color w:val="0000FF"/>
            <w:sz w:val="24"/>
            <w:szCs w:val="24"/>
          </w:rPr>
          <w:t xml:space="preserve"> 486 U.S. 281 (1988)</w:t>
        </w:r>
      </w:hyperlink>
      <w:r>
        <w:rPr>
          <w:rFonts w:ascii="Times New Roman" w:hAnsi="Times New Roman" w:cs="Times New Roman"/>
          <w:color w:val="000000"/>
          <w:sz w:val="24"/>
          <w:szCs w:val="24"/>
        </w:rPr>
        <w:t xml:space="preserve"> ... 3</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61" w:history="1">
        <w:r>
          <w:rPr>
            <w:rFonts w:ascii="Times New Roman" w:hAnsi="Times New Roman" w:cs="Times New Roman"/>
            <w:i/>
            <w:iCs/>
            <w:color w:val="0000FF"/>
            <w:sz w:val="24"/>
            <w:szCs w:val="24"/>
          </w:rPr>
          <w:t>KP Permanent Make-Up, Inc. v. Lasting Impres</w:t>
        </w:r>
        <w:r>
          <w:rPr>
            <w:rFonts w:ascii="Times New Roman" w:hAnsi="Times New Roman" w:cs="Times New Roman"/>
            <w:i/>
            <w:iCs/>
            <w:color w:val="0000FF"/>
            <w:sz w:val="24"/>
            <w:szCs w:val="24"/>
          </w:rPr>
          <w:t>sion I, Inc.,</w:t>
        </w:r>
      </w:hyperlink>
      <w:hyperlink r:id="rId62" w:history="1">
        <w:r>
          <w:rPr>
            <w:rFonts w:ascii="Times New Roman" w:hAnsi="Times New Roman" w:cs="Times New Roman"/>
            <w:color w:val="0000FF"/>
            <w:sz w:val="24"/>
            <w:szCs w:val="24"/>
          </w:rPr>
          <w:t xml:space="preserve"> 543 U.S. 111 (2004)</w:t>
        </w:r>
      </w:hyperlink>
      <w:r>
        <w:rPr>
          <w:rFonts w:ascii="Times New Roman" w:hAnsi="Times New Roman" w:cs="Times New Roman"/>
          <w:color w:val="000000"/>
          <w:sz w:val="24"/>
          <w:szCs w:val="24"/>
        </w:rPr>
        <w:t xml:space="preserve"> ... 2</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i/>
          <w:iCs/>
          <w:color w:val="000000"/>
          <w:sz w:val="24"/>
          <w:szCs w:val="24"/>
        </w:rPr>
        <w:t>Lexmark Int'l v. Static Control Components,</w:t>
      </w:r>
      <w:r>
        <w:rPr>
          <w:rFonts w:ascii="Times New Roman" w:hAnsi="Times New Roman" w:cs="Times New Roman"/>
          <w:color w:val="000000"/>
          <w:sz w:val="24"/>
          <w:szCs w:val="24"/>
        </w:rPr>
        <w:t xml:space="preserve"> No. 12-873 (Sup. Ct., pet. granted June 3, 2013) ... 2</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63" w:history="1">
        <w:r>
          <w:rPr>
            <w:rFonts w:ascii="Times New Roman" w:hAnsi="Times New Roman" w:cs="Times New Roman"/>
            <w:i/>
            <w:iCs/>
            <w:color w:val="0000FF"/>
            <w:sz w:val="24"/>
            <w:szCs w:val="24"/>
          </w:rPr>
          <w:t>Morton v. Mancari,</w:t>
        </w:r>
      </w:hyperlink>
      <w:hyperlink r:id="rId64" w:history="1">
        <w:r>
          <w:rPr>
            <w:rFonts w:ascii="Times New Roman" w:hAnsi="Times New Roman" w:cs="Times New Roman"/>
            <w:color w:val="0000FF"/>
            <w:sz w:val="24"/>
            <w:szCs w:val="24"/>
          </w:rPr>
          <w:t xml:space="preserve"> 417 U.S. 535 </w:t>
        </w:r>
        <w:r>
          <w:rPr>
            <w:rFonts w:ascii="Times New Roman" w:hAnsi="Times New Roman" w:cs="Times New Roman"/>
            <w:color w:val="0000FF"/>
            <w:sz w:val="24"/>
            <w:szCs w:val="24"/>
          </w:rPr>
          <w:t>(1974)</w:t>
        </w:r>
      </w:hyperlink>
      <w:r>
        <w:rPr>
          <w:rFonts w:ascii="Times New Roman" w:hAnsi="Times New Roman" w:cs="Times New Roman"/>
          <w:color w:val="000000"/>
          <w:sz w:val="24"/>
          <w:szCs w:val="24"/>
        </w:rPr>
        <w:t xml:space="preserve"> ... 13</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65" w:history="1">
        <w:r>
          <w:rPr>
            <w:rFonts w:ascii="Times New Roman" w:hAnsi="Times New Roman" w:cs="Times New Roman"/>
            <w:i/>
            <w:iCs/>
            <w:color w:val="0000FF"/>
            <w:sz w:val="24"/>
            <w:szCs w:val="24"/>
          </w:rPr>
          <w:t>Moseley v. V Secret Catalogue, Inc.,</w:t>
        </w:r>
      </w:hyperlink>
      <w:hyperlink r:id="rId66" w:history="1">
        <w:r>
          <w:rPr>
            <w:rFonts w:ascii="Times New Roman" w:hAnsi="Times New Roman" w:cs="Times New Roman"/>
            <w:color w:val="0000FF"/>
            <w:sz w:val="24"/>
            <w:szCs w:val="24"/>
          </w:rPr>
          <w:t xml:space="preserve"> 537 U.S. 418 (2003)</w:t>
        </w:r>
      </w:hyperlink>
      <w:r>
        <w:rPr>
          <w:rFonts w:ascii="Times New Roman" w:hAnsi="Times New Roman" w:cs="Times New Roman"/>
          <w:color w:val="000000"/>
          <w:sz w:val="24"/>
          <w:szCs w:val="24"/>
        </w:rPr>
        <w:t xml:space="preserve"> ... 2</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i/>
          <w:iCs/>
          <w:color w:val="000000"/>
          <w:sz w:val="24"/>
          <w:szCs w:val="24"/>
        </w:rPr>
        <w:t xml:space="preserve">Mut. Pharm. v. </w:t>
      </w:r>
      <w:hyperlink r:id="rId67" w:history="1">
        <w:r>
          <w:rPr>
            <w:rFonts w:ascii="Times New Roman" w:hAnsi="Times New Roman" w:cs="Times New Roman"/>
            <w:i/>
            <w:iCs/>
            <w:color w:val="0000FF"/>
            <w:sz w:val="24"/>
            <w:szCs w:val="24"/>
          </w:rPr>
          <w:t>Ivax Pharm., Inc.,</w:t>
        </w:r>
      </w:hyperlink>
      <w:hyperlink r:id="rId68" w:history="1">
        <w:r>
          <w:rPr>
            <w:rFonts w:ascii="Times New Roman" w:hAnsi="Times New Roman" w:cs="Times New Roman"/>
            <w:color w:val="0000FF"/>
            <w:sz w:val="24"/>
            <w:szCs w:val="24"/>
          </w:rPr>
          <w:t xml:space="preserve"> 459 F. Supp. 2d 925 (CD. Cal. 2006)</w:t>
        </w:r>
      </w:hyperlink>
      <w:r>
        <w:rPr>
          <w:rFonts w:ascii="Times New Roman" w:hAnsi="Times New Roman" w:cs="Times New Roman"/>
          <w:color w:val="000000"/>
          <w:sz w:val="24"/>
          <w:szCs w:val="24"/>
        </w:rPr>
        <w:t xml:space="preserve"> ... 11</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69" w:history="1">
        <w:r>
          <w:rPr>
            <w:rFonts w:ascii="Times New Roman" w:hAnsi="Times New Roman" w:cs="Times New Roman"/>
            <w:i/>
            <w:iCs/>
            <w:color w:val="0000FF"/>
            <w:sz w:val="24"/>
            <w:szCs w:val="24"/>
          </w:rPr>
          <w:t>Mylan Labs., Inc. v. Matkari,</w:t>
        </w:r>
      </w:hyperlink>
      <w:hyperlink r:id="rId70" w:history="1">
        <w:r>
          <w:rPr>
            <w:rFonts w:ascii="Times New Roman" w:hAnsi="Times New Roman" w:cs="Times New Roman"/>
            <w:color w:val="0000FF"/>
            <w:sz w:val="24"/>
            <w:szCs w:val="24"/>
          </w:rPr>
          <w:t xml:space="preserve"> 7 F.3d 1130 (4th Cir. 1993)</w:t>
        </w:r>
      </w:hyperlink>
      <w:r>
        <w:rPr>
          <w:rFonts w:ascii="Times New Roman" w:hAnsi="Times New Roman" w:cs="Times New Roman"/>
          <w:color w:val="000000"/>
          <w:sz w:val="24"/>
          <w:szCs w:val="24"/>
        </w:rPr>
        <w:t xml:space="preserve"> ... 14</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71" w:history="1">
        <w:r>
          <w:rPr>
            <w:rFonts w:ascii="Times New Roman" w:hAnsi="Times New Roman" w:cs="Times New Roman"/>
            <w:i/>
            <w:iCs/>
            <w:color w:val="0000FF"/>
            <w:sz w:val="24"/>
            <w:szCs w:val="24"/>
          </w:rPr>
          <w:t>Parkway Ba</w:t>
        </w:r>
        <w:r>
          <w:rPr>
            <w:rFonts w:ascii="Times New Roman" w:hAnsi="Times New Roman" w:cs="Times New Roman"/>
            <w:i/>
            <w:iCs/>
            <w:color w:val="0000FF"/>
            <w:sz w:val="24"/>
            <w:szCs w:val="24"/>
          </w:rPr>
          <w:t>king Co. v. Freihofer Baking Co.,</w:t>
        </w:r>
      </w:hyperlink>
      <w:hyperlink r:id="rId72" w:history="1">
        <w:r>
          <w:rPr>
            <w:rFonts w:ascii="Times New Roman" w:hAnsi="Times New Roman" w:cs="Times New Roman"/>
            <w:color w:val="0000FF"/>
            <w:sz w:val="24"/>
            <w:szCs w:val="24"/>
          </w:rPr>
          <w:t xml:space="preserve"> 255 F.2d 641 (3d Cir. 1958)</w:t>
        </w:r>
      </w:hyperlink>
      <w:r>
        <w:rPr>
          <w:rFonts w:ascii="Times New Roman" w:hAnsi="Times New Roman" w:cs="Times New Roman"/>
          <w:color w:val="000000"/>
          <w:sz w:val="24"/>
          <w:szCs w:val="24"/>
        </w:rPr>
        <w:t xml:space="preserve"> ... 7</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73" w:history="1">
        <w:r>
          <w:rPr>
            <w:rFonts w:ascii="Times New Roman" w:hAnsi="Times New Roman" w:cs="Times New Roman"/>
            <w:i/>
            <w:iCs/>
            <w:color w:val="0000FF"/>
            <w:sz w:val="24"/>
            <w:szCs w:val="24"/>
          </w:rPr>
          <w:t>PhotoMedex, Inc. v. Irwin,</w:t>
        </w:r>
      </w:hyperlink>
      <w:hyperlink r:id="rId74" w:history="1">
        <w:r>
          <w:rPr>
            <w:rFonts w:ascii="Times New Roman" w:hAnsi="Times New Roman" w:cs="Times New Roman"/>
            <w:color w:val="0000FF"/>
            <w:sz w:val="24"/>
            <w:szCs w:val="24"/>
          </w:rPr>
          <w:t xml:space="preserve"> 601 F.3d 919 (9th Cir. 2010)</w:t>
        </w:r>
      </w:hyperlink>
      <w:r>
        <w:rPr>
          <w:rFonts w:ascii="Times New Roman" w:hAnsi="Times New Roman" w:cs="Times New Roman"/>
          <w:color w:val="000000"/>
          <w:sz w:val="24"/>
          <w:szCs w:val="24"/>
        </w:rPr>
        <w:t xml:space="preserve"> ... 19</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75" w:history="1">
        <w:r>
          <w:rPr>
            <w:rFonts w:ascii="Times New Roman" w:hAnsi="Times New Roman" w:cs="Times New Roman"/>
            <w:i/>
            <w:iCs/>
            <w:color w:val="0000FF"/>
            <w:sz w:val="24"/>
            <w:szCs w:val="24"/>
          </w:rPr>
          <w:t>Posadas v. Nat'l City Bank,</w:t>
        </w:r>
      </w:hyperlink>
      <w:hyperlink r:id="rId76" w:history="1">
        <w:r>
          <w:rPr>
            <w:rFonts w:ascii="Times New Roman" w:hAnsi="Times New Roman" w:cs="Times New Roman"/>
            <w:color w:val="0000FF"/>
            <w:sz w:val="24"/>
            <w:szCs w:val="24"/>
          </w:rPr>
          <w:t xml:space="preserve"> 296 U.S. 497 (1936)</w:t>
        </w:r>
      </w:hyperlink>
      <w:r>
        <w:rPr>
          <w:rFonts w:ascii="Times New Roman" w:hAnsi="Times New Roman" w:cs="Times New Roman"/>
          <w:color w:val="000000"/>
          <w:sz w:val="24"/>
          <w:szCs w:val="24"/>
        </w:rPr>
        <w:t xml:space="preserve"> ... 13</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*v</w:t>
      </w:r>
      <w:r>
        <w:rPr>
          <w:rFonts w:ascii="Times New Roman" w:hAnsi="Times New Roman" w:cs="Times New Roman"/>
          <w:color w:val="000000"/>
          <w:sz w:val="24"/>
          <w:szCs w:val="24"/>
        </w:rPr>
        <w:t xml:space="preserve"> </w:t>
      </w:r>
      <w:hyperlink r:id="rId77" w:history="1">
        <w:r>
          <w:rPr>
            <w:rFonts w:ascii="Times New Roman" w:hAnsi="Times New Roman" w:cs="Times New Roman"/>
            <w:i/>
            <w:iCs/>
            <w:color w:val="0000FF"/>
            <w:sz w:val="24"/>
            <w:szCs w:val="24"/>
          </w:rPr>
          <w:t>Qualitex Co. v. Jacobson Prods. Co.,</w:t>
        </w:r>
      </w:hyperlink>
      <w:hyperlink r:id="rId78" w:history="1">
        <w:r>
          <w:rPr>
            <w:rFonts w:ascii="Times New Roman" w:hAnsi="Times New Roman" w:cs="Times New Roman"/>
            <w:color w:val="0000FF"/>
            <w:sz w:val="24"/>
            <w:szCs w:val="24"/>
          </w:rPr>
          <w:t xml:space="preserve"> 514 U.S. 159 (1995)</w:t>
        </w:r>
      </w:hyperlink>
      <w:r>
        <w:rPr>
          <w:rFonts w:ascii="Times New Roman" w:hAnsi="Times New Roman" w:cs="Times New Roman"/>
          <w:color w:val="000000"/>
          <w:sz w:val="24"/>
          <w:szCs w:val="24"/>
        </w:rPr>
        <w:t xml:space="preserve"> ... 2</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79" w:history="1">
        <w:r>
          <w:rPr>
            <w:rFonts w:ascii="Times New Roman" w:hAnsi="Times New Roman" w:cs="Times New Roman"/>
            <w:i/>
            <w:iCs/>
            <w:color w:val="0000FF"/>
            <w:sz w:val="24"/>
            <w:szCs w:val="24"/>
          </w:rPr>
          <w:t>Sandoz Pharm. v. Richardson-Vicks, Inc.,</w:t>
        </w:r>
      </w:hyperlink>
      <w:hyperlink r:id="rId80" w:history="1">
        <w:r>
          <w:rPr>
            <w:rFonts w:ascii="Times New Roman" w:hAnsi="Times New Roman" w:cs="Times New Roman"/>
            <w:color w:val="0000FF"/>
            <w:sz w:val="24"/>
            <w:szCs w:val="24"/>
          </w:rPr>
          <w:t xml:space="preserve"> 902 F.2d 222 (3d Cir. 1990)</w:t>
        </w:r>
      </w:hyperlink>
      <w:r>
        <w:rPr>
          <w:rFonts w:ascii="Times New Roman" w:hAnsi="Times New Roman" w:cs="Times New Roman"/>
          <w:color w:val="000000"/>
          <w:sz w:val="24"/>
          <w:szCs w:val="24"/>
        </w:rPr>
        <w:t xml:space="preserve"> ... 11, 14, 18</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81" w:history="1">
        <w:r>
          <w:rPr>
            <w:rFonts w:ascii="Times New Roman" w:hAnsi="Times New Roman" w:cs="Times New Roman"/>
            <w:i/>
            <w:iCs/>
            <w:color w:val="0000FF"/>
            <w:sz w:val="24"/>
            <w:szCs w:val="24"/>
          </w:rPr>
          <w:t xml:space="preserve">Schering-Plough Healthcare </w:t>
        </w:r>
        <w:r>
          <w:rPr>
            <w:rFonts w:ascii="Times New Roman" w:hAnsi="Times New Roman" w:cs="Times New Roman"/>
            <w:i/>
            <w:iCs/>
            <w:color w:val="0000FF"/>
            <w:sz w:val="24"/>
            <w:szCs w:val="24"/>
          </w:rPr>
          <w:t>Prods. v. Schwarz Pharma, Inc.,</w:t>
        </w:r>
      </w:hyperlink>
      <w:hyperlink r:id="rId82" w:history="1">
        <w:r>
          <w:rPr>
            <w:rFonts w:ascii="Times New Roman" w:hAnsi="Times New Roman" w:cs="Times New Roman"/>
            <w:color w:val="0000FF"/>
            <w:sz w:val="24"/>
            <w:szCs w:val="24"/>
          </w:rPr>
          <w:t xml:space="preserve"> 586 F.3d 500 (7th Cir. 2009)</w:t>
        </w:r>
      </w:hyperlink>
      <w:r>
        <w:rPr>
          <w:rFonts w:ascii="Times New Roman" w:hAnsi="Times New Roman" w:cs="Times New Roman"/>
          <w:color w:val="000000"/>
          <w:sz w:val="24"/>
          <w:szCs w:val="24"/>
        </w:rPr>
        <w:t xml:space="preserve"> ... 8, 23</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83" w:history="1">
        <w:r>
          <w:rPr>
            <w:rFonts w:ascii="Times New Roman" w:hAnsi="Times New Roman" w:cs="Times New Roman"/>
            <w:i/>
            <w:iCs/>
            <w:color w:val="0000FF"/>
            <w:sz w:val="24"/>
            <w:szCs w:val="24"/>
          </w:rPr>
          <w:t>Silver v. N. Y. Stock Exch.,</w:t>
        </w:r>
      </w:hyperlink>
      <w:hyperlink r:id="rId84" w:history="1">
        <w:r>
          <w:rPr>
            <w:rFonts w:ascii="Times New Roman" w:hAnsi="Times New Roman" w:cs="Times New Roman"/>
            <w:color w:val="0000FF"/>
            <w:sz w:val="24"/>
            <w:szCs w:val="24"/>
          </w:rPr>
          <w:t xml:space="preserve"> 373 U.S. 341 (1963)</w:t>
        </w:r>
      </w:hyperlink>
      <w:r>
        <w:rPr>
          <w:rFonts w:ascii="Times New Roman" w:hAnsi="Times New Roman" w:cs="Times New Roman"/>
          <w:color w:val="000000"/>
          <w:sz w:val="24"/>
          <w:szCs w:val="24"/>
        </w:rPr>
        <w:t xml:space="preserve"> ... 18</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85" w:history="1">
        <w:r>
          <w:rPr>
            <w:rFonts w:ascii="Times New Roman" w:hAnsi="Times New Roman" w:cs="Times New Roman"/>
            <w:i/>
            <w:iCs/>
            <w:color w:val="0000FF"/>
            <w:sz w:val="24"/>
            <w:szCs w:val="24"/>
          </w:rPr>
          <w:t>TrafFix Devices, Inc. v. Mktg. Displays, Inc.,</w:t>
        </w:r>
      </w:hyperlink>
      <w:hyperlink r:id="rId86" w:history="1">
        <w:r>
          <w:rPr>
            <w:rFonts w:ascii="Times New Roman" w:hAnsi="Times New Roman" w:cs="Times New Roman"/>
            <w:color w:val="0000FF"/>
            <w:sz w:val="24"/>
            <w:szCs w:val="24"/>
          </w:rPr>
          <w:t xml:space="preserve"> 532 U.S. 23 (2001)</w:t>
        </w:r>
      </w:hyperlink>
      <w:r>
        <w:rPr>
          <w:rFonts w:ascii="Times New Roman" w:hAnsi="Times New Roman" w:cs="Times New Roman"/>
          <w:color w:val="000000"/>
          <w:sz w:val="24"/>
          <w:szCs w:val="24"/>
        </w:rPr>
        <w:t xml:space="preserve"> ... 2</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87" w:history="1">
        <w:r>
          <w:rPr>
            <w:rFonts w:ascii="Times New Roman" w:hAnsi="Times New Roman" w:cs="Times New Roman"/>
            <w:i/>
            <w:iCs/>
            <w:color w:val="0000FF"/>
            <w:sz w:val="24"/>
            <w:szCs w:val="24"/>
          </w:rPr>
          <w:t>Two Pesos, Inc. v. Taco Cabana, Inc.,</w:t>
        </w:r>
      </w:hyperlink>
      <w:hyperlink r:id="rId88" w:history="1">
        <w:r>
          <w:rPr>
            <w:rFonts w:ascii="Times New Roman" w:hAnsi="Times New Roman" w:cs="Times New Roman"/>
            <w:color w:val="0000FF"/>
            <w:sz w:val="24"/>
            <w:szCs w:val="24"/>
          </w:rPr>
          <w:t xml:space="preserve"> 505 U.S. 763 (1992)</w:t>
        </w:r>
      </w:hyperlink>
      <w:r>
        <w:rPr>
          <w:rFonts w:ascii="Times New Roman" w:hAnsi="Times New Roman" w:cs="Times New Roman"/>
          <w:color w:val="000000"/>
          <w:sz w:val="24"/>
          <w:szCs w:val="24"/>
        </w:rPr>
        <w:t xml:space="preserve"> ... 2, 6, 7</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89" w:history="1">
        <w:r>
          <w:rPr>
            <w:rFonts w:ascii="Times New Roman" w:hAnsi="Times New Roman" w:cs="Times New Roman"/>
            <w:i/>
            <w:iCs/>
            <w:color w:val="0000FF"/>
            <w:sz w:val="24"/>
            <w:szCs w:val="24"/>
          </w:rPr>
          <w:t>U-Haul Int'l, Inc. v. Jartran, Inc.,</w:t>
        </w:r>
      </w:hyperlink>
      <w:hyperlink r:id="rId90" w:history="1">
        <w:r>
          <w:rPr>
            <w:rFonts w:ascii="Times New Roman" w:hAnsi="Times New Roman" w:cs="Times New Roman"/>
            <w:color w:val="0000FF"/>
            <w:sz w:val="24"/>
            <w:szCs w:val="24"/>
          </w:rPr>
          <w:t xml:space="preserve"> 681 F.2d 1159 (9th Cir. 1982)</w:t>
        </w:r>
      </w:hyperlink>
      <w:r>
        <w:rPr>
          <w:rFonts w:ascii="Times New Roman" w:hAnsi="Times New Roman" w:cs="Times New Roman"/>
          <w:color w:val="000000"/>
          <w:sz w:val="24"/>
          <w:szCs w:val="24"/>
        </w:rPr>
        <w:t xml:space="preserve"> ... 24</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91" w:history="1">
        <w:r>
          <w:rPr>
            <w:rFonts w:ascii="Times New Roman" w:hAnsi="Times New Roman" w:cs="Times New Roman"/>
            <w:i/>
            <w:iCs/>
            <w:color w:val="0000FF"/>
            <w:sz w:val="24"/>
            <w:szCs w:val="24"/>
          </w:rPr>
          <w:t>United States v. Articles of Drug Consisting of Following:</w:t>
        </w:r>
        <w:r>
          <w:rPr>
            <w:rFonts w:ascii="Times New Roman" w:hAnsi="Times New Roman" w:cs="Times New Roman"/>
            <w:i/>
            <w:iCs/>
            <w:color w:val="0000FF"/>
            <w:sz w:val="24"/>
            <w:szCs w:val="24"/>
          </w:rPr>
          <w:t xml:space="preserve"> 5,906 Boxes,</w:t>
        </w:r>
      </w:hyperlink>
      <w:hyperlink r:id="rId92" w:history="1">
        <w:r>
          <w:rPr>
            <w:rFonts w:ascii="Times New Roman" w:hAnsi="Times New Roman" w:cs="Times New Roman"/>
            <w:color w:val="0000FF"/>
            <w:sz w:val="24"/>
            <w:szCs w:val="24"/>
          </w:rPr>
          <w:t xml:space="preserve"> 745 F.2d 105 (1st Cir. 1984)</w:t>
        </w:r>
      </w:hyperlink>
      <w:r>
        <w:rPr>
          <w:rFonts w:ascii="Times New Roman" w:hAnsi="Times New Roman" w:cs="Times New Roman"/>
          <w:color w:val="000000"/>
          <w:sz w:val="24"/>
          <w:szCs w:val="24"/>
        </w:rPr>
        <w:t xml:space="preserve"> ... 8</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93" w:history="1">
        <w:r>
          <w:rPr>
            <w:rFonts w:ascii="Times New Roman" w:hAnsi="Times New Roman" w:cs="Times New Roman"/>
            <w:i/>
            <w:iCs/>
            <w:color w:val="0000FF"/>
            <w:sz w:val="24"/>
            <w:szCs w:val="24"/>
          </w:rPr>
          <w:t>United States v. Bacto-Unidisk,</w:t>
        </w:r>
      </w:hyperlink>
      <w:hyperlink r:id="rId94" w:history="1">
        <w:r>
          <w:rPr>
            <w:rFonts w:ascii="Times New Roman" w:hAnsi="Times New Roman" w:cs="Times New Roman"/>
            <w:color w:val="0000FF"/>
            <w:sz w:val="24"/>
            <w:szCs w:val="24"/>
          </w:rPr>
          <w:t xml:space="preserve"> 394 U.S. 784 (1969)</w:t>
        </w:r>
      </w:hyperlink>
      <w:r>
        <w:rPr>
          <w:rFonts w:ascii="Times New Roman" w:hAnsi="Times New Roman" w:cs="Times New Roman"/>
          <w:color w:val="000000"/>
          <w:sz w:val="24"/>
          <w:szCs w:val="24"/>
        </w:rPr>
        <w:t xml:space="preserve"> ... 8</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95" w:history="1">
        <w:r>
          <w:rPr>
            <w:rFonts w:ascii="Times New Roman" w:hAnsi="Times New Roman" w:cs="Times New Roman"/>
            <w:i/>
            <w:iCs/>
            <w:color w:val="0000FF"/>
            <w:sz w:val="24"/>
            <w:szCs w:val="24"/>
          </w:rPr>
          <w:t>United States v. Batchelder,</w:t>
        </w:r>
      </w:hyperlink>
      <w:hyperlink r:id="rId96" w:history="1">
        <w:r>
          <w:rPr>
            <w:rFonts w:ascii="Times New Roman" w:hAnsi="Times New Roman" w:cs="Times New Roman"/>
            <w:color w:val="0000FF"/>
            <w:sz w:val="24"/>
            <w:szCs w:val="24"/>
          </w:rPr>
          <w:t xml:space="preserve"> 442 U.S. 114 (1979)</w:t>
        </w:r>
      </w:hyperlink>
      <w:r>
        <w:rPr>
          <w:rFonts w:ascii="Times New Roman" w:hAnsi="Times New Roman" w:cs="Times New Roman"/>
          <w:color w:val="000000"/>
          <w:sz w:val="24"/>
          <w:szCs w:val="24"/>
        </w:rPr>
        <w:t xml:space="preserve"> ... 13, 15, 18</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97" w:history="1">
        <w:r>
          <w:rPr>
            <w:rFonts w:ascii="Times New Roman" w:hAnsi="Times New Roman" w:cs="Times New Roman"/>
            <w:i/>
            <w:iCs/>
            <w:color w:val="0000FF"/>
            <w:sz w:val="24"/>
            <w:szCs w:val="24"/>
          </w:rPr>
          <w:t>United States v. Borden Co.,</w:t>
        </w:r>
      </w:hyperlink>
      <w:hyperlink r:id="rId98" w:history="1">
        <w:r>
          <w:rPr>
            <w:rFonts w:ascii="Times New Roman" w:hAnsi="Times New Roman" w:cs="Times New Roman"/>
            <w:color w:val="0000FF"/>
            <w:sz w:val="24"/>
            <w:szCs w:val="24"/>
          </w:rPr>
          <w:t xml:space="preserve"> 308 U.S. 188 (1939)</w:t>
        </w:r>
      </w:hyperlink>
      <w:r>
        <w:rPr>
          <w:rFonts w:ascii="Times New Roman" w:hAnsi="Times New Roman" w:cs="Times New Roman"/>
          <w:color w:val="000000"/>
          <w:sz w:val="24"/>
          <w:szCs w:val="24"/>
        </w:rPr>
        <w:t xml:space="preserve"> ... 13</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*vi</w:t>
      </w:r>
      <w:r>
        <w:rPr>
          <w:rFonts w:ascii="Times New Roman" w:hAnsi="Times New Roman" w:cs="Times New Roman"/>
          <w:color w:val="000000"/>
          <w:sz w:val="24"/>
          <w:szCs w:val="24"/>
        </w:rPr>
        <w:t xml:space="preserve"> </w:t>
      </w:r>
      <w:hyperlink r:id="rId99" w:history="1">
        <w:r>
          <w:rPr>
            <w:rFonts w:ascii="Times New Roman" w:hAnsi="Times New Roman" w:cs="Times New Roman"/>
            <w:i/>
            <w:iCs/>
            <w:color w:val="0000FF"/>
            <w:sz w:val="24"/>
            <w:szCs w:val="24"/>
          </w:rPr>
          <w:t>United States v. Sullivan,</w:t>
        </w:r>
      </w:hyperlink>
      <w:hyperlink r:id="rId100" w:history="1">
        <w:r>
          <w:rPr>
            <w:rFonts w:ascii="Times New Roman" w:hAnsi="Times New Roman" w:cs="Times New Roman"/>
            <w:color w:val="0000FF"/>
            <w:sz w:val="24"/>
            <w:szCs w:val="24"/>
          </w:rPr>
          <w:t xml:space="preserve"> 332 U.S. 689 (1948)</w:t>
        </w:r>
      </w:hyperlink>
      <w:r>
        <w:rPr>
          <w:rFonts w:ascii="Times New Roman" w:hAnsi="Times New Roman" w:cs="Times New Roman"/>
          <w:color w:val="000000"/>
          <w:sz w:val="24"/>
          <w:szCs w:val="24"/>
        </w:rPr>
        <w:t xml:space="preserve"> ... 8</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101" w:history="1">
        <w:r>
          <w:rPr>
            <w:rFonts w:ascii="Times New Roman" w:hAnsi="Times New Roman" w:cs="Times New Roman"/>
            <w:i/>
            <w:iCs/>
            <w:color w:val="0000FF"/>
            <w:sz w:val="24"/>
            <w:szCs w:val="24"/>
          </w:rPr>
          <w:t>Wal-Mart Stores, Inc. v. Samara Bros.,</w:t>
        </w:r>
      </w:hyperlink>
      <w:hyperlink r:id="rId102" w:history="1">
        <w:r>
          <w:rPr>
            <w:rFonts w:ascii="Times New Roman" w:hAnsi="Times New Roman" w:cs="Times New Roman"/>
            <w:color w:val="0000FF"/>
            <w:sz w:val="24"/>
            <w:szCs w:val="24"/>
          </w:rPr>
          <w:t xml:space="preserve"> 529 U.S. 205 (2000)</w:t>
        </w:r>
      </w:hyperlink>
      <w:r>
        <w:rPr>
          <w:rFonts w:ascii="Times New Roman" w:hAnsi="Times New Roman" w:cs="Times New Roman"/>
          <w:color w:val="000000"/>
          <w:sz w:val="24"/>
          <w:szCs w:val="24"/>
        </w:rPr>
        <w:t xml:space="preserve"> ... 2</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103" w:history="1">
        <w:r>
          <w:rPr>
            <w:rFonts w:ascii="Times New Roman" w:hAnsi="Times New Roman" w:cs="Times New Roman"/>
            <w:i/>
            <w:iCs/>
            <w:color w:val="0000FF"/>
            <w:sz w:val="24"/>
            <w:szCs w:val="24"/>
          </w:rPr>
          <w:t>Wyeth v. Levine,</w:t>
        </w:r>
      </w:hyperlink>
      <w:hyperlink r:id="rId104" w:history="1">
        <w:r>
          <w:rPr>
            <w:rFonts w:ascii="Times New Roman" w:hAnsi="Times New Roman" w:cs="Times New Roman"/>
            <w:color w:val="0000FF"/>
            <w:sz w:val="24"/>
            <w:szCs w:val="24"/>
          </w:rPr>
          <w:t xml:space="preserve"> 555 U.S. 555 (2009)</w:t>
        </w:r>
      </w:hyperlink>
      <w:r>
        <w:rPr>
          <w:rFonts w:ascii="Times New Roman" w:hAnsi="Times New Roman" w:cs="Times New Roman"/>
          <w:color w:val="000000"/>
          <w:sz w:val="24"/>
          <w:szCs w:val="24"/>
        </w:rPr>
        <w:t xml:space="preserve"> ... 12</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105" w:history="1">
        <w:r>
          <w:rPr>
            <w:rFonts w:ascii="Times New Roman" w:hAnsi="Times New Roman" w:cs="Times New Roman"/>
            <w:i/>
            <w:iCs/>
            <w:color w:val="0000FF"/>
            <w:sz w:val="24"/>
            <w:szCs w:val="24"/>
          </w:rPr>
          <w:t>Zenith Elecs. Corp. v. Exzec, Inc.,</w:t>
        </w:r>
      </w:hyperlink>
      <w:hyperlink r:id="rId106" w:history="1">
        <w:r>
          <w:rPr>
            <w:rFonts w:ascii="Times New Roman" w:hAnsi="Times New Roman" w:cs="Times New Roman"/>
            <w:color w:val="0000FF"/>
            <w:sz w:val="24"/>
            <w:szCs w:val="24"/>
          </w:rPr>
          <w:t xml:space="preserve"> 182 F.3d 1340 (Fed. Cir. 1999)</w:t>
        </w:r>
      </w:hyperlink>
      <w:r>
        <w:rPr>
          <w:rFonts w:ascii="Times New Roman" w:hAnsi="Times New Roman" w:cs="Times New Roman"/>
          <w:color w:val="000000"/>
          <w:sz w:val="24"/>
          <w:szCs w:val="24"/>
        </w:rPr>
        <w:t xml:space="preserve"> ... 7</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STATUTES:</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107" w:history="1">
        <w:r>
          <w:rPr>
            <w:rFonts w:ascii="Times New Roman" w:hAnsi="Times New Roman" w:cs="Times New Roman"/>
            <w:color w:val="0000FF"/>
            <w:sz w:val="24"/>
            <w:szCs w:val="24"/>
          </w:rPr>
          <w:t>15 U.S.C. § 1117(a)</w:t>
        </w:r>
      </w:hyperlink>
      <w:r>
        <w:rPr>
          <w:rFonts w:ascii="Times New Roman" w:hAnsi="Times New Roman" w:cs="Times New Roman"/>
          <w:color w:val="000000"/>
          <w:sz w:val="24"/>
          <w:szCs w:val="24"/>
        </w:rPr>
        <w:t xml:space="preserve"> ... 7, 10</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108" w:history="1">
        <w:r>
          <w:rPr>
            <w:rFonts w:ascii="Times New Roman" w:hAnsi="Times New Roman" w:cs="Times New Roman"/>
            <w:color w:val="0000FF"/>
            <w:sz w:val="24"/>
            <w:szCs w:val="24"/>
          </w:rPr>
          <w:t>15 U.S.C. § 1125(a)</w:t>
        </w:r>
      </w:hyperlink>
      <w:r>
        <w:rPr>
          <w:rFonts w:ascii="Times New Roman" w:hAnsi="Times New Roman" w:cs="Times New Roman"/>
          <w:color w:val="000000"/>
          <w:sz w:val="24"/>
          <w:szCs w:val="24"/>
        </w:rPr>
        <w:t xml:space="preserve"> ... </w:t>
      </w:r>
      <w:r>
        <w:rPr>
          <w:rFonts w:ascii="Times New Roman" w:hAnsi="Times New Roman" w:cs="Times New Roman"/>
          <w:i/>
          <w:iCs/>
          <w:color w:val="000000"/>
          <w:sz w:val="24"/>
          <w:szCs w:val="24"/>
        </w:rPr>
        <w:t>passim</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109" w:history="1">
        <w:r>
          <w:rPr>
            <w:rFonts w:ascii="Times New Roman" w:hAnsi="Times New Roman" w:cs="Times New Roman"/>
            <w:color w:val="0000FF"/>
            <w:sz w:val="24"/>
            <w:szCs w:val="24"/>
          </w:rPr>
          <w:t>15 U.S.C. § 1127</w:t>
        </w:r>
      </w:hyperlink>
      <w:r>
        <w:rPr>
          <w:rFonts w:ascii="Times New Roman" w:hAnsi="Times New Roman" w:cs="Times New Roman"/>
          <w:color w:val="000000"/>
          <w:sz w:val="24"/>
          <w:szCs w:val="24"/>
        </w:rPr>
        <w:t xml:space="preserve"> ... 6, 7</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110" w:history="1">
        <w:r>
          <w:rPr>
            <w:rFonts w:ascii="Times New Roman" w:hAnsi="Times New Roman" w:cs="Times New Roman"/>
            <w:color w:val="0000FF"/>
            <w:sz w:val="24"/>
            <w:szCs w:val="24"/>
          </w:rPr>
          <w:t>21 U.S.C. § 321(f)</w:t>
        </w:r>
      </w:hyperlink>
      <w:r>
        <w:rPr>
          <w:rFonts w:ascii="Times New Roman" w:hAnsi="Times New Roman" w:cs="Times New Roman"/>
          <w:color w:val="000000"/>
          <w:sz w:val="24"/>
          <w:szCs w:val="24"/>
        </w:rPr>
        <w:t xml:space="preserve"> ... 9</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111" w:history="1">
        <w:r>
          <w:rPr>
            <w:rFonts w:ascii="Times New Roman" w:hAnsi="Times New Roman" w:cs="Times New Roman"/>
            <w:color w:val="0000FF"/>
            <w:sz w:val="24"/>
            <w:szCs w:val="24"/>
          </w:rPr>
          <w:t>21 U.S.C. § 331(a)</w:t>
        </w:r>
      </w:hyperlink>
      <w:r>
        <w:rPr>
          <w:rFonts w:ascii="Times New Roman" w:hAnsi="Times New Roman" w:cs="Times New Roman"/>
          <w:color w:val="000000"/>
          <w:sz w:val="24"/>
          <w:szCs w:val="24"/>
        </w:rPr>
        <w:t xml:space="preserve"> ... 9, 12</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112" w:history="1">
        <w:r>
          <w:rPr>
            <w:rFonts w:ascii="Times New Roman" w:hAnsi="Times New Roman" w:cs="Times New Roman"/>
            <w:color w:val="0000FF"/>
            <w:sz w:val="24"/>
            <w:szCs w:val="24"/>
          </w:rPr>
          <w:t xml:space="preserve">21 U.S.C. </w:t>
        </w:r>
        <w:r>
          <w:rPr>
            <w:rFonts w:ascii="Times New Roman" w:hAnsi="Times New Roman" w:cs="Times New Roman"/>
            <w:color w:val="0000FF"/>
            <w:sz w:val="24"/>
            <w:szCs w:val="24"/>
          </w:rPr>
          <w:t>§ 331(c)</w:t>
        </w:r>
      </w:hyperlink>
      <w:r>
        <w:rPr>
          <w:rFonts w:ascii="Times New Roman" w:hAnsi="Times New Roman" w:cs="Times New Roman"/>
          <w:color w:val="000000"/>
          <w:sz w:val="24"/>
          <w:szCs w:val="24"/>
        </w:rPr>
        <w:t xml:space="preserve"> ... 9, 12</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113" w:history="1">
        <w:r>
          <w:rPr>
            <w:rFonts w:ascii="Times New Roman" w:hAnsi="Times New Roman" w:cs="Times New Roman"/>
            <w:color w:val="0000FF"/>
            <w:sz w:val="24"/>
            <w:szCs w:val="24"/>
          </w:rPr>
          <w:t>21 U.S.C. § 333(b)</w:t>
        </w:r>
      </w:hyperlink>
      <w:r>
        <w:rPr>
          <w:rFonts w:ascii="Times New Roman" w:hAnsi="Times New Roman" w:cs="Times New Roman"/>
          <w:color w:val="000000"/>
          <w:sz w:val="24"/>
          <w:szCs w:val="24"/>
        </w:rPr>
        <w:t xml:space="preserve"> ... 10</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114" w:history="1">
        <w:r>
          <w:rPr>
            <w:rFonts w:ascii="Times New Roman" w:hAnsi="Times New Roman" w:cs="Times New Roman"/>
            <w:color w:val="0000FF"/>
            <w:sz w:val="24"/>
            <w:szCs w:val="24"/>
          </w:rPr>
          <w:t>21 U.S.C. § 337(a)</w:t>
        </w:r>
      </w:hyperlink>
      <w:r>
        <w:rPr>
          <w:rFonts w:ascii="Times New Roman" w:hAnsi="Times New Roman" w:cs="Times New Roman"/>
          <w:color w:val="000000"/>
          <w:sz w:val="24"/>
          <w:szCs w:val="24"/>
        </w:rPr>
        <w:t xml:space="preserve"> ... 9</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115" w:history="1">
        <w:r>
          <w:rPr>
            <w:rFonts w:ascii="Times New Roman" w:hAnsi="Times New Roman" w:cs="Times New Roman"/>
            <w:color w:val="0000FF"/>
            <w:sz w:val="24"/>
            <w:szCs w:val="24"/>
          </w:rPr>
          <w:t>21 U.S.C. § 341</w:t>
        </w:r>
      </w:hyperlink>
      <w:r>
        <w:rPr>
          <w:rFonts w:ascii="Times New Roman" w:hAnsi="Times New Roman" w:cs="Times New Roman"/>
          <w:color w:val="000000"/>
          <w:sz w:val="24"/>
          <w:szCs w:val="24"/>
        </w:rPr>
        <w:t xml:space="preserve"> ... 9</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116" w:history="1">
        <w:r>
          <w:rPr>
            <w:rFonts w:ascii="Times New Roman" w:hAnsi="Times New Roman" w:cs="Times New Roman"/>
            <w:color w:val="0000FF"/>
            <w:sz w:val="24"/>
            <w:szCs w:val="24"/>
          </w:rPr>
          <w:t>21 U.S.C. § 343</w:t>
        </w:r>
      </w:hyperlink>
      <w:r>
        <w:rPr>
          <w:rFonts w:ascii="Times New Roman" w:hAnsi="Times New Roman" w:cs="Times New Roman"/>
          <w:color w:val="000000"/>
          <w:sz w:val="24"/>
          <w:szCs w:val="24"/>
        </w:rPr>
        <w:t xml:space="preserve"> ... 9, 10, 12</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117" w:history="1">
        <w:r>
          <w:rPr>
            <w:rFonts w:ascii="Times New Roman" w:hAnsi="Times New Roman" w:cs="Times New Roman"/>
            <w:color w:val="0000FF"/>
            <w:sz w:val="24"/>
            <w:szCs w:val="24"/>
          </w:rPr>
          <w:t>21 U.S.C. § 343(a)</w:t>
        </w:r>
      </w:hyperlink>
      <w:r>
        <w:rPr>
          <w:rFonts w:ascii="Times New Roman" w:hAnsi="Times New Roman" w:cs="Times New Roman"/>
          <w:color w:val="000000"/>
          <w:sz w:val="24"/>
          <w:szCs w:val="24"/>
        </w:rPr>
        <w:t xml:space="preserve"> ... 9</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*vii</w:t>
      </w:r>
      <w:r>
        <w:rPr>
          <w:rFonts w:ascii="Times New Roman" w:hAnsi="Times New Roman" w:cs="Times New Roman"/>
          <w:color w:val="000000"/>
          <w:sz w:val="24"/>
          <w:szCs w:val="24"/>
        </w:rPr>
        <w:t xml:space="preserve"> </w:t>
      </w:r>
      <w:hyperlink r:id="rId118" w:history="1">
        <w:r>
          <w:rPr>
            <w:rFonts w:ascii="Times New Roman" w:hAnsi="Times New Roman" w:cs="Times New Roman"/>
            <w:color w:val="0000FF"/>
            <w:sz w:val="24"/>
            <w:szCs w:val="24"/>
          </w:rPr>
          <w:t>21 U.S.C. § 343(f)</w:t>
        </w:r>
      </w:hyperlink>
      <w:r>
        <w:rPr>
          <w:rFonts w:ascii="Times New Roman" w:hAnsi="Times New Roman" w:cs="Times New Roman"/>
          <w:color w:val="000000"/>
          <w:sz w:val="24"/>
          <w:szCs w:val="24"/>
        </w:rPr>
        <w:t xml:space="preserve"> ... 9, 15, 22</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119" w:history="1">
        <w:r>
          <w:rPr>
            <w:rFonts w:ascii="Times New Roman" w:hAnsi="Times New Roman" w:cs="Times New Roman"/>
            <w:color w:val="0000FF"/>
            <w:sz w:val="24"/>
            <w:szCs w:val="24"/>
          </w:rPr>
          <w:t>21 U.S.C. § 343(i)</w:t>
        </w:r>
      </w:hyperlink>
      <w:r>
        <w:rPr>
          <w:rFonts w:ascii="Times New Roman" w:hAnsi="Times New Roman" w:cs="Times New Roman"/>
          <w:color w:val="000000"/>
          <w:sz w:val="24"/>
          <w:szCs w:val="24"/>
        </w:rPr>
        <w:t xml:space="preserve"> ... 15, 22</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120" w:history="1">
        <w:r>
          <w:rPr>
            <w:rFonts w:ascii="Times New Roman" w:hAnsi="Times New Roman" w:cs="Times New Roman"/>
            <w:color w:val="0000FF"/>
            <w:sz w:val="24"/>
            <w:szCs w:val="24"/>
          </w:rPr>
          <w:t>21 U.S.C. § 371</w:t>
        </w:r>
      </w:hyperlink>
      <w:r>
        <w:rPr>
          <w:rFonts w:ascii="Times New Roman" w:hAnsi="Times New Roman" w:cs="Times New Roman"/>
          <w:color w:val="000000"/>
          <w:sz w:val="24"/>
          <w:szCs w:val="24"/>
        </w:rPr>
        <w:t xml:space="preserve"> ... 10, 12</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Trademark (Lanham) Act of 1946, Ch. 540, 60 Stat. 427 ... 6</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Federal Food and Drugs Act of 1906, Ch. 3915, 34 Stat. 768 ... 8</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Federal Food Drug &amp; Cosmetic Act, Ch. 675, 522 Stat. 1040, </w:t>
      </w:r>
      <w:hyperlink r:id="rId121" w:history="1">
        <w:r>
          <w:rPr>
            <w:rFonts w:ascii="Times New Roman" w:hAnsi="Times New Roman" w:cs="Times New Roman"/>
            <w:color w:val="0000FF"/>
            <w:sz w:val="24"/>
            <w:szCs w:val="24"/>
          </w:rPr>
          <w:t xml:space="preserve">21 U.S.C. § 301 </w:t>
        </w:r>
      </w:hyperlink>
      <w:hyperlink r:id="rId122" w:history="1">
        <w:r>
          <w:rPr>
            <w:rFonts w:ascii="Times New Roman" w:hAnsi="Times New Roman" w:cs="Times New Roman"/>
            <w:i/>
            <w:iCs/>
            <w:color w:val="0000FF"/>
            <w:sz w:val="24"/>
            <w:szCs w:val="24"/>
          </w:rPr>
          <w:t>et seq.</w:t>
        </w:r>
      </w:hyperlink>
      <w:r>
        <w:rPr>
          <w:rFonts w:ascii="Times New Roman" w:hAnsi="Times New Roman" w:cs="Times New Roman"/>
          <w:color w:val="000000"/>
          <w:sz w:val="24"/>
          <w:szCs w:val="24"/>
        </w:rPr>
        <w:t xml:space="preserve"> ... 8</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Nutrition Labeling and Education Act of 1</w:t>
      </w:r>
      <w:r>
        <w:rPr>
          <w:rFonts w:ascii="Times New Roman" w:hAnsi="Times New Roman" w:cs="Times New Roman"/>
          <w:color w:val="000000"/>
          <w:sz w:val="24"/>
          <w:szCs w:val="24"/>
        </w:rPr>
        <w:t xml:space="preserve">990, </w:t>
      </w:r>
      <w:hyperlink r:id="rId123" w:history="1">
        <w:r>
          <w:rPr>
            <w:rFonts w:ascii="Times New Roman" w:hAnsi="Times New Roman" w:cs="Times New Roman"/>
            <w:color w:val="0000FF"/>
            <w:sz w:val="24"/>
            <w:szCs w:val="24"/>
          </w:rPr>
          <w:t xml:space="preserve">Pub. L. No. 101-535, 104 Stat. 2353 </w:t>
        </w:r>
      </w:hyperlink>
      <w:r>
        <w:rPr>
          <w:rFonts w:ascii="Times New Roman" w:hAnsi="Times New Roman" w:cs="Times New Roman"/>
          <w:color w:val="000000"/>
          <w:sz w:val="24"/>
          <w:szCs w:val="24"/>
        </w:rPr>
        <w:t>... 8</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RULE:</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Sup. Ct. R. 37.6 ... 1</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REGULATIONS:</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124" w:history="1">
        <w:r>
          <w:rPr>
            <w:rFonts w:ascii="Times New Roman" w:hAnsi="Times New Roman" w:cs="Times New Roman"/>
            <w:color w:val="0000FF"/>
            <w:sz w:val="24"/>
            <w:szCs w:val="24"/>
          </w:rPr>
          <w:t>21 C.F.R. § 17.1</w:t>
        </w:r>
      </w:hyperlink>
      <w:r>
        <w:rPr>
          <w:rFonts w:ascii="Times New Roman" w:hAnsi="Times New Roman" w:cs="Times New Roman"/>
          <w:color w:val="000000"/>
          <w:sz w:val="24"/>
          <w:szCs w:val="24"/>
        </w:rPr>
        <w:t xml:space="preserve"> ... 10</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21 C.F.R. pt. 101 ... 9</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21 C.F.R. pt. 102 ... 9</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125" w:history="1">
        <w:r>
          <w:rPr>
            <w:rFonts w:ascii="Times New Roman" w:hAnsi="Times New Roman" w:cs="Times New Roman"/>
            <w:color w:val="0000FF"/>
            <w:sz w:val="24"/>
            <w:szCs w:val="24"/>
          </w:rPr>
          <w:t>21 C.F.R. § 102.19(a)</w:t>
        </w:r>
      </w:hyperlink>
      <w:r>
        <w:rPr>
          <w:rFonts w:ascii="Times New Roman" w:hAnsi="Times New Roman" w:cs="Times New Roman"/>
          <w:color w:val="000000"/>
          <w:sz w:val="24"/>
          <w:szCs w:val="24"/>
        </w:rPr>
        <w:t xml:space="preserve"> ... 10</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*viii</w:t>
      </w:r>
      <w:r>
        <w:rPr>
          <w:rFonts w:ascii="Times New Roman" w:hAnsi="Times New Roman" w:cs="Times New Roman"/>
          <w:color w:val="000000"/>
          <w:sz w:val="24"/>
          <w:szCs w:val="24"/>
        </w:rPr>
        <w:t xml:space="preserve"> </w:t>
      </w:r>
      <w:hyperlink r:id="rId126" w:history="1">
        <w:r>
          <w:rPr>
            <w:rFonts w:ascii="Times New Roman" w:hAnsi="Times New Roman" w:cs="Times New Roman"/>
            <w:color w:val="0000FF"/>
            <w:sz w:val="24"/>
            <w:szCs w:val="24"/>
          </w:rPr>
          <w:t>21 C.F.R. § 102.33</w:t>
        </w:r>
      </w:hyperlink>
      <w:r>
        <w:rPr>
          <w:rFonts w:ascii="Times New Roman" w:hAnsi="Times New Roman" w:cs="Times New Roman"/>
          <w:color w:val="000000"/>
          <w:sz w:val="24"/>
          <w:szCs w:val="24"/>
        </w:rPr>
        <w:t xml:space="preserve"> ... 9</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127" w:history="1">
        <w:r>
          <w:rPr>
            <w:rFonts w:ascii="Times New Roman" w:hAnsi="Times New Roman" w:cs="Times New Roman"/>
            <w:color w:val="0000FF"/>
            <w:sz w:val="24"/>
            <w:szCs w:val="24"/>
          </w:rPr>
          <w:t>21 C.F.R. § 102.33(c)</w:t>
        </w:r>
      </w:hyperlink>
      <w:r>
        <w:rPr>
          <w:rFonts w:ascii="Times New Roman" w:hAnsi="Times New Roman" w:cs="Times New Roman"/>
          <w:color w:val="000000"/>
          <w:sz w:val="24"/>
          <w:szCs w:val="24"/>
        </w:rPr>
        <w:t xml:space="preserve"> ... 15, 22</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128" w:history="1">
        <w:r>
          <w:rPr>
            <w:rFonts w:ascii="Times New Roman" w:hAnsi="Times New Roman" w:cs="Times New Roman"/>
            <w:color w:val="0000FF"/>
            <w:sz w:val="24"/>
            <w:szCs w:val="24"/>
          </w:rPr>
          <w:t>21 C.F.R. § 102.33(d)</w:t>
        </w:r>
      </w:hyperlink>
      <w:r>
        <w:rPr>
          <w:rFonts w:ascii="Times New Roman" w:hAnsi="Times New Roman" w:cs="Times New Roman"/>
          <w:color w:val="000000"/>
          <w:sz w:val="24"/>
          <w:szCs w:val="24"/>
        </w:rPr>
        <w:t xml:space="preserve"> ... 14, 15, 21, 22</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129" w:history="1">
        <w:r>
          <w:rPr>
            <w:rFonts w:ascii="Times New Roman" w:hAnsi="Times New Roman" w:cs="Times New Roman"/>
            <w:color w:val="0000FF"/>
            <w:sz w:val="24"/>
            <w:szCs w:val="24"/>
          </w:rPr>
          <w:t>58 Fed. Reg. 2898 (Jan. 6, 1993)</w:t>
        </w:r>
      </w:hyperlink>
      <w:r>
        <w:rPr>
          <w:rFonts w:ascii="Times New Roman" w:hAnsi="Times New Roman" w:cs="Times New Roman"/>
          <w:color w:val="000000"/>
          <w:sz w:val="24"/>
          <w:szCs w:val="24"/>
        </w:rPr>
        <w:t xml:space="preserve"> ... 9</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LEGISLATIVE HISTORY:</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92 Cong. Rec. 7524 (1946) ... 6</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S. Rep. No. 515, </w:t>
      </w:r>
      <w:r>
        <w:rPr>
          <w:rFonts w:ascii="Times New Roman" w:hAnsi="Times New Roman" w:cs="Times New Roman"/>
          <w:color w:val="000000"/>
          <w:sz w:val="24"/>
          <w:szCs w:val="24"/>
        </w:rPr>
        <w:t>100th Cong., 2nd Sess. 1988 (Sept. 15, 1988) ... 6, 7</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OTHER AUTHORITIES:</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Government Accountability Office, GAO 08-597, </w:t>
      </w:r>
      <w:r>
        <w:rPr>
          <w:rFonts w:ascii="Times New Roman" w:hAnsi="Times New Roman" w:cs="Times New Roman"/>
          <w:i/>
          <w:iCs/>
          <w:color w:val="000000"/>
          <w:sz w:val="24"/>
          <w:szCs w:val="24"/>
        </w:rPr>
        <w:t>Food Labeling: FDA Needs to Better Leverage Resources, Improve Oversight, and Effectively Use Available Data to Help Consumers Select H</w:t>
      </w:r>
      <w:r>
        <w:rPr>
          <w:rFonts w:ascii="Times New Roman" w:hAnsi="Times New Roman" w:cs="Times New Roman"/>
          <w:i/>
          <w:iCs/>
          <w:color w:val="000000"/>
          <w:sz w:val="24"/>
          <w:szCs w:val="24"/>
        </w:rPr>
        <w:t>ealthy Foods</w:t>
      </w:r>
      <w:r>
        <w:rPr>
          <w:rFonts w:ascii="Times New Roman" w:hAnsi="Times New Roman" w:cs="Times New Roman"/>
          <w:color w:val="000000"/>
          <w:sz w:val="24"/>
          <w:szCs w:val="24"/>
        </w:rPr>
        <w:t xml:space="preserve"> (2008) ... 25</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McCarthy on Trademarks and Unfair Competition (4th ed. 2009) ... 24</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United States Trademark Association, </w:t>
      </w:r>
      <w:r>
        <w:rPr>
          <w:rFonts w:ascii="Times New Roman" w:hAnsi="Times New Roman" w:cs="Times New Roman"/>
          <w:i/>
          <w:iCs/>
          <w:color w:val="000000"/>
          <w:sz w:val="24"/>
          <w:szCs w:val="24"/>
        </w:rPr>
        <w:t>Trademark Review Commission Report and Recomme</w:t>
      </w:r>
      <w:r>
        <w:rPr>
          <w:rFonts w:ascii="Times New Roman" w:hAnsi="Times New Roman" w:cs="Times New Roman"/>
          <w:i/>
          <w:iCs/>
          <w:color w:val="000000"/>
          <w:sz w:val="24"/>
          <w:szCs w:val="24"/>
        </w:rPr>
        <w:t>n</w:t>
      </w:r>
      <w:r>
        <w:rPr>
          <w:rFonts w:ascii="Times New Roman" w:hAnsi="Times New Roman" w:cs="Times New Roman"/>
          <w:i/>
          <w:iCs/>
          <w:color w:val="000000"/>
          <w:sz w:val="24"/>
          <w:szCs w:val="24"/>
        </w:rPr>
        <w:t>dations to USTA President and Board of Directors, reprinted in</w:t>
      </w:r>
      <w:r>
        <w:rPr>
          <w:rFonts w:ascii="Times New Roman" w:hAnsi="Times New Roman" w:cs="Times New Roman"/>
          <w:color w:val="000000"/>
          <w:sz w:val="24"/>
          <w:szCs w:val="24"/>
        </w:rPr>
        <w:t xml:space="preserve"> The Trademar</w:t>
      </w:r>
      <w:r>
        <w:rPr>
          <w:rFonts w:ascii="Times New Roman" w:hAnsi="Times New Roman" w:cs="Times New Roman"/>
          <w:color w:val="000000"/>
          <w:sz w:val="24"/>
          <w:szCs w:val="24"/>
        </w:rPr>
        <w:t>k Law Revision Act of 1988 (1989) ... 3, 7</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b/>
          <w:bCs/>
          <w:color w:val="000000"/>
          <w:sz w:val="24"/>
          <w:szCs w:val="24"/>
        </w:rPr>
        <w:lastRenderedPageBreak/>
        <w:t>*1</w:t>
      </w:r>
      <w:r>
        <w:rPr>
          <w:rFonts w:ascii="Times New Roman" w:hAnsi="Times New Roman" w:cs="Times New Roman"/>
          <w:color w:val="000000"/>
          <w:sz w:val="24"/>
          <w:szCs w:val="24"/>
        </w:rPr>
        <w:t xml:space="preserve"> INTEREST OF AMICUS CURIAE</w:t>
      </w:r>
      <w:r>
        <w:rPr>
          <w:rFonts w:ascii="Times New Roman" w:hAnsi="Times New Roman" w:cs="Times New Roman"/>
          <w:color w:val="000000"/>
          <w:sz w:val="20"/>
          <w:szCs w:val="20"/>
          <w:vertAlign w:val="superscript"/>
        </w:rPr>
        <w:t>[FN1]</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ind w:left="720"/>
        <w:jc w:val="both"/>
        <w:rPr>
          <w:rFonts w:ascii="Times New Roman" w:hAnsi="Times New Roman" w:cs="Times New Roman"/>
          <w:color w:val="000000"/>
          <w:sz w:val="24"/>
          <w:szCs w:val="24"/>
        </w:rPr>
      </w:pPr>
      <w:r>
        <w:rPr>
          <w:rFonts w:ascii="Times New Roman" w:hAnsi="Times New Roman" w:cs="Times New Roman"/>
          <w:color w:val="000000"/>
          <w:sz w:val="24"/>
          <w:szCs w:val="24"/>
        </w:rPr>
        <w:t>FN1. In accordance with Supreme Court Rule 37.6, amicus curiae states that this brief was authored solely by INTA and its counsel, and no part of this brief was authored by counsel to a party. No party or counsel for a party made a monetary contribution in</w:t>
      </w:r>
      <w:r>
        <w:rPr>
          <w:rFonts w:ascii="Times New Roman" w:hAnsi="Times New Roman" w:cs="Times New Roman"/>
          <w:color w:val="000000"/>
          <w:sz w:val="24"/>
          <w:szCs w:val="24"/>
        </w:rPr>
        <w:t>tended to fund the preparation or submission of this brief. No person other than amicus curiae, its me</w:t>
      </w:r>
      <w:r>
        <w:rPr>
          <w:rFonts w:ascii="Times New Roman" w:hAnsi="Times New Roman" w:cs="Times New Roman"/>
          <w:color w:val="000000"/>
          <w:sz w:val="24"/>
          <w:szCs w:val="24"/>
        </w:rPr>
        <w:t>m</w:t>
      </w:r>
      <w:r>
        <w:rPr>
          <w:rFonts w:ascii="Times New Roman" w:hAnsi="Times New Roman" w:cs="Times New Roman"/>
          <w:color w:val="000000"/>
          <w:sz w:val="24"/>
          <w:szCs w:val="24"/>
        </w:rPr>
        <w:t>bers, and its counsel made such a monetary contribution to its preparation or submission. The parties have consented to the filing of this brief, and let</w:t>
      </w:r>
      <w:r>
        <w:rPr>
          <w:rFonts w:ascii="Times New Roman" w:hAnsi="Times New Roman" w:cs="Times New Roman"/>
          <w:color w:val="000000"/>
          <w:sz w:val="24"/>
          <w:szCs w:val="24"/>
        </w:rPr>
        <w:t>ters indicating the consent are filed with this brief.</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Founded in 1878, the International Trademark Association (</w:t>
      </w:r>
      <w:r>
        <w:rPr>
          <w:rFonts w:ascii="Times New Roman" w:hAnsi="Times New Roman" w:cs="Times New Roman"/>
          <w:color w:val="000000"/>
          <w:sz w:val="24"/>
          <w:szCs w:val="24"/>
        </w:rPr>
        <w:t>“</w:t>
      </w:r>
      <w:r>
        <w:rPr>
          <w:rFonts w:ascii="Times New Roman" w:hAnsi="Times New Roman" w:cs="Times New Roman"/>
          <w:color w:val="000000"/>
          <w:sz w:val="24"/>
          <w:szCs w:val="24"/>
        </w:rPr>
        <w:t>INTA</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is a global organization dedicated to supporting trademarks and related </w:t>
      </w:r>
      <w:r>
        <w:rPr>
          <w:rFonts w:ascii="Times New Roman" w:hAnsi="Times New Roman" w:cs="Times New Roman"/>
          <w:b/>
          <w:bCs/>
          <w:color w:val="000000"/>
          <w:sz w:val="24"/>
          <w:szCs w:val="24"/>
        </w:rPr>
        <w:t>*2</w:t>
      </w:r>
      <w:r>
        <w:rPr>
          <w:rFonts w:ascii="Times New Roman" w:hAnsi="Times New Roman" w:cs="Times New Roman"/>
          <w:color w:val="000000"/>
          <w:sz w:val="24"/>
          <w:szCs w:val="24"/>
        </w:rPr>
        <w:t xml:space="preserve"> intellectual property in order to protect co</w:t>
      </w:r>
      <w:r>
        <w:rPr>
          <w:rFonts w:ascii="Times New Roman" w:hAnsi="Times New Roman" w:cs="Times New Roman"/>
          <w:color w:val="000000"/>
          <w:sz w:val="24"/>
          <w:szCs w:val="24"/>
        </w:rPr>
        <w:t>n</w:t>
      </w:r>
      <w:r>
        <w:rPr>
          <w:rFonts w:ascii="Times New Roman" w:hAnsi="Times New Roman" w:cs="Times New Roman"/>
          <w:color w:val="000000"/>
          <w:sz w:val="24"/>
          <w:szCs w:val="24"/>
        </w:rPr>
        <w:t xml:space="preserve">sumers and to </w:t>
      </w:r>
      <w:r>
        <w:rPr>
          <w:rFonts w:ascii="Times New Roman" w:hAnsi="Times New Roman" w:cs="Times New Roman"/>
          <w:color w:val="000000"/>
          <w:sz w:val="24"/>
          <w:szCs w:val="24"/>
        </w:rPr>
        <w:t xml:space="preserve">promote fair and effective commerce. INTA has more than 6,400 members in more than 190 countries. Its members include trademark and brand owners, as well as law firms and other professionals who regularly assist brand owners in the creation, registration, </w:t>
      </w:r>
      <w:r>
        <w:rPr>
          <w:rFonts w:ascii="Times New Roman" w:hAnsi="Times New Roman" w:cs="Times New Roman"/>
          <w:color w:val="000000"/>
          <w:sz w:val="24"/>
          <w:szCs w:val="24"/>
        </w:rPr>
        <w:t>protection, and enforcement of their trademarks. All INTA members share the goal of promoting an understanding of the essential role that trademarks and goodwill play in fostering commerce, fair competition, and informed decision-making by consumers.</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INTA</w:t>
      </w:r>
      <w:r>
        <w:rPr>
          <w:rFonts w:ascii="Times New Roman" w:hAnsi="Times New Roman" w:cs="Times New Roman"/>
          <w:color w:val="000000"/>
          <w:sz w:val="24"/>
          <w:szCs w:val="24"/>
        </w:rPr>
        <w:t xml:space="preserve"> was founded in part to encourage the enactment of federal trademark legislation after i</w:t>
      </w:r>
      <w:r>
        <w:rPr>
          <w:rFonts w:ascii="Times New Roman" w:hAnsi="Times New Roman" w:cs="Times New Roman"/>
          <w:color w:val="000000"/>
          <w:sz w:val="24"/>
          <w:szCs w:val="24"/>
        </w:rPr>
        <w:t>n</w:t>
      </w:r>
      <w:r>
        <w:rPr>
          <w:rFonts w:ascii="Times New Roman" w:hAnsi="Times New Roman" w:cs="Times New Roman"/>
          <w:color w:val="000000"/>
          <w:sz w:val="24"/>
          <w:szCs w:val="24"/>
        </w:rPr>
        <w:t>validation on constitutional grounds of the United States' first trademark act. Since then, INTA has been instrumental in making recommendations and providing assistan</w:t>
      </w:r>
      <w:r>
        <w:rPr>
          <w:rFonts w:ascii="Times New Roman" w:hAnsi="Times New Roman" w:cs="Times New Roman"/>
          <w:color w:val="000000"/>
          <w:sz w:val="24"/>
          <w:szCs w:val="24"/>
        </w:rPr>
        <w:t>ce to legislators in conne</w:t>
      </w:r>
      <w:r>
        <w:rPr>
          <w:rFonts w:ascii="Times New Roman" w:hAnsi="Times New Roman" w:cs="Times New Roman"/>
          <w:color w:val="000000"/>
          <w:sz w:val="24"/>
          <w:szCs w:val="24"/>
        </w:rPr>
        <w:t>c</w:t>
      </w:r>
      <w:r>
        <w:rPr>
          <w:rFonts w:ascii="Times New Roman" w:hAnsi="Times New Roman" w:cs="Times New Roman"/>
          <w:color w:val="000000"/>
          <w:sz w:val="24"/>
          <w:szCs w:val="24"/>
        </w:rPr>
        <w:t>tion with major trademark and related legislation. INTA members are frequent participants in Lanham Act-related litigation as both plaintiffs and defendants. INTA has also participated as amicus curiae in numerous cases involving</w:t>
      </w:r>
      <w:r>
        <w:rPr>
          <w:rFonts w:ascii="Times New Roman" w:hAnsi="Times New Roman" w:cs="Times New Roman"/>
          <w:color w:val="000000"/>
          <w:sz w:val="24"/>
          <w:szCs w:val="24"/>
        </w:rPr>
        <w:t xml:space="preserve"> significant Lanham Act issues in this Court and ot</w:t>
      </w:r>
      <w:r>
        <w:rPr>
          <w:rFonts w:ascii="Times New Roman" w:hAnsi="Times New Roman" w:cs="Times New Roman"/>
          <w:color w:val="000000"/>
          <w:sz w:val="24"/>
          <w:szCs w:val="24"/>
        </w:rPr>
        <w:t>h</w:t>
      </w:r>
      <w:r>
        <w:rPr>
          <w:rFonts w:ascii="Times New Roman" w:hAnsi="Times New Roman" w:cs="Times New Roman"/>
          <w:color w:val="000000"/>
          <w:sz w:val="24"/>
          <w:szCs w:val="24"/>
        </w:rPr>
        <w:t>ers.</w:t>
      </w:r>
      <w:r>
        <w:rPr>
          <w:rFonts w:ascii="Times New Roman" w:hAnsi="Times New Roman" w:cs="Times New Roman"/>
          <w:color w:val="000000"/>
          <w:sz w:val="20"/>
          <w:szCs w:val="20"/>
          <w:vertAlign w:val="superscript"/>
        </w:rPr>
        <w:t>[FN2]</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ind w:left="72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FN2. INTA has filed amicus briefs in this Court in the following matters: </w:t>
      </w:r>
      <w:r>
        <w:rPr>
          <w:rFonts w:ascii="Times New Roman" w:hAnsi="Times New Roman" w:cs="Times New Roman"/>
          <w:i/>
          <w:iCs/>
          <w:color w:val="000000"/>
          <w:sz w:val="24"/>
          <w:szCs w:val="24"/>
        </w:rPr>
        <w:t>Lexmark Int'l v. Static Control Components,</w:t>
      </w:r>
      <w:r>
        <w:rPr>
          <w:rFonts w:ascii="Times New Roman" w:hAnsi="Times New Roman" w:cs="Times New Roman"/>
          <w:color w:val="000000"/>
          <w:sz w:val="24"/>
          <w:szCs w:val="24"/>
        </w:rPr>
        <w:t xml:space="preserve"> No. 12-873 (Sup. Ct., pet. granted June 3, 2013); </w:t>
      </w:r>
      <w:hyperlink r:id="rId130" w:history="1">
        <w:r>
          <w:rPr>
            <w:rFonts w:ascii="Times New Roman" w:hAnsi="Times New Roman" w:cs="Times New Roman"/>
            <w:i/>
            <w:iCs/>
            <w:color w:val="0000FF"/>
            <w:sz w:val="24"/>
            <w:szCs w:val="24"/>
          </w:rPr>
          <w:t>Already, LLC v. Nike, Inc.,</w:t>
        </w:r>
      </w:hyperlink>
      <w:hyperlink r:id="rId131" w:history="1">
        <w:r>
          <w:rPr>
            <w:rFonts w:ascii="Times New Roman" w:hAnsi="Times New Roman" w:cs="Times New Roman"/>
            <w:color w:val="0000FF"/>
            <w:sz w:val="24"/>
            <w:szCs w:val="24"/>
          </w:rPr>
          <w:t xml:space="preserve"> 133 S</w:t>
        </w:r>
        <w:r>
          <w:rPr>
            <w:rFonts w:ascii="Times New Roman" w:hAnsi="Times New Roman" w:cs="Times New Roman"/>
            <w:color w:val="0000FF"/>
            <w:sz w:val="24"/>
            <w:szCs w:val="24"/>
          </w:rPr>
          <w:t>. Ct. 721 (2013)</w:t>
        </w:r>
      </w:hyperlink>
      <w:r>
        <w:rPr>
          <w:rFonts w:ascii="Times New Roman" w:hAnsi="Times New Roman" w:cs="Times New Roman"/>
          <w:color w:val="000000"/>
          <w:sz w:val="24"/>
          <w:szCs w:val="24"/>
        </w:rPr>
        <w:t xml:space="preserve">; </w:t>
      </w:r>
      <w:hyperlink r:id="rId132" w:history="1">
        <w:r>
          <w:rPr>
            <w:rFonts w:ascii="Times New Roman" w:hAnsi="Times New Roman" w:cs="Times New Roman"/>
            <w:i/>
            <w:iCs/>
            <w:color w:val="0000FF"/>
            <w:sz w:val="24"/>
            <w:szCs w:val="24"/>
          </w:rPr>
          <w:t>KP Permanent Make-Up, Inc. v. Lasting Impression I, Inc.,</w:t>
        </w:r>
      </w:hyperlink>
      <w:hyperlink r:id="rId133" w:history="1">
        <w:r>
          <w:rPr>
            <w:rFonts w:ascii="Times New Roman" w:hAnsi="Times New Roman" w:cs="Times New Roman"/>
            <w:color w:val="0000FF"/>
            <w:sz w:val="24"/>
            <w:szCs w:val="24"/>
          </w:rPr>
          <w:t xml:space="preserve"> 543 U.S. 111 (2004)</w:t>
        </w:r>
      </w:hyperlink>
      <w:r>
        <w:rPr>
          <w:rFonts w:ascii="Times New Roman" w:hAnsi="Times New Roman" w:cs="Times New Roman"/>
          <w:color w:val="000000"/>
          <w:sz w:val="24"/>
          <w:szCs w:val="24"/>
        </w:rPr>
        <w:t xml:space="preserve">; </w:t>
      </w:r>
      <w:hyperlink r:id="rId134" w:history="1">
        <w:r>
          <w:rPr>
            <w:rFonts w:ascii="Times New Roman" w:hAnsi="Times New Roman" w:cs="Times New Roman"/>
            <w:i/>
            <w:iCs/>
            <w:color w:val="0000FF"/>
            <w:sz w:val="24"/>
            <w:szCs w:val="24"/>
          </w:rPr>
          <w:t>Dastar Corp. v. Twentieth Century Fox Film Corp.,</w:t>
        </w:r>
      </w:hyperlink>
      <w:hyperlink r:id="rId135" w:history="1">
        <w:r>
          <w:rPr>
            <w:rFonts w:ascii="Times New Roman" w:hAnsi="Times New Roman" w:cs="Times New Roman"/>
            <w:color w:val="0000FF"/>
            <w:sz w:val="24"/>
            <w:szCs w:val="24"/>
          </w:rPr>
          <w:t xml:space="preserve"> 539 U.S. 23 (2003)</w:t>
        </w:r>
      </w:hyperlink>
      <w:r>
        <w:rPr>
          <w:rFonts w:ascii="Times New Roman" w:hAnsi="Times New Roman" w:cs="Times New Roman"/>
          <w:color w:val="000000"/>
          <w:sz w:val="24"/>
          <w:szCs w:val="24"/>
        </w:rPr>
        <w:t xml:space="preserve">; </w:t>
      </w:r>
      <w:hyperlink r:id="rId136" w:history="1">
        <w:r>
          <w:rPr>
            <w:rFonts w:ascii="Times New Roman" w:hAnsi="Times New Roman" w:cs="Times New Roman"/>
            <w:i/>
            <w:iCs/>
            <w:color w:val="0000FF"/>
            <w:sz w:val="24"/>
            <w:szCs w:val="24"/>
          </w:rPr>
          <w:t>Moseley v. V Secret Catalogue, Inc.,</w:t>
        </w:r>
      </w:hyperlink>
      <w:hyperlink r:id="rId137" w:history="1">
        <w:r>
          <w:rPr>
            <w:rFonts w:ascii="Times New Roman" w:hAnsi="Times New Roman" w:cs="Times New Roman"/>
            <w:color w:val="0000FF"/>
            <w:sz w:val="24"/>
            <w:szCs w:val="24"/>
          </w:rPr>
          <w:t xml:space="preserve"> 537 U.S. 418 (2003)</w:t>
        </w:r>
      </w:hyperlink>
      <w:r>
        <w:rPr>
          <w:rFonts w:ascii="Times New Roman" w:hAnsi="Times New Roman" w:cs="Times New Roman"/>
          <w:color w:val="000000"/>
          <w:sz w:val="24"/>
          <w:szCs w:val="24"/>
        </w:rPr>
        <w:t xml:space="preserve">; </w:t>
      </w:r>
      <w:hyperlink r:id="rId138" w:history="1">
        <w:r>
          <w:rPr>
            <w:rFonts w:ascii="Times New Roman" w:hAnsi="Times New Roman" w:cs="Times New Roman"/>
            <w:i/>
            <w:iCs/>
            <w:color w:val="0000FF"/>
            <w:sz w:val="24"/>
            <w:szCs w:val="24"/>
          </w:rPr>
          <w:t xml:space="preserve">TrafFix </w:t>
        </w:r>
        <w:r>
          <w:rPr>
            <w:rFonts w:ascii="Times New Roman" w:hAnsi="Times New Roman" w:cs="Times New Roman"/>
            <w:i/>
            <w:iCs/>
            <w:color w:val="0000FF"/>
            <w:sz w:val="24"/>
            <w:szCs w:val="24"/>
          </w:rPr>
          <w:t>Devices, Inc. v. Mktg. Displays, Inc.,</w:t>
        </w:r>
      </w:hyperlink>
      <w:hyperlink r:id="rId139" w:history="1">
        <w:r>
          <w:rPr>
            <w:rFonts w:ascii="Times New Roman" w:hAnsi="Times New Roman" w:cs="Times New Roman"/>
            <w:color w:val="0000FF"/>
            <w:sz w:val="24"/>
            <w:szCs w:val="24"/>
          </w:rPr>
          <w:t xml:space="preserve"> 532 U.S. 23 (2001)</w:t>
        </w:r>
      </w:hyperlink>
      <w:r>
        <w:rPr>
          <w:rFonts w:ascii="Times New Roman" w:hAnsi="Times New Roman" w:cs="Times New Roman"/>
          <w:color w:val="000000"/>
          <w:sz w:val="24"/>
          <w:szCs w:val="24"/>
        </w:rPr>
        <w:t xml:space="preserve">; </w:t>
      </w:r>
      <w:hyperlink r:id="rId140" w:history="1">
        <w:r>
          <w:rPr>
            <w:rFonts w:ascii="Times New Roman" w:hAnsi="Times New Roman" w:cs="Times New Roman"/>
            <w:i/>
            <w:iCs/>
            <w:color w:val="0000FF"/>
            <w:sz w:val="24"/>
            <w:szCs w:val="24"/>
          </w:rPr>
          <w:t>Wal-Mart Stores, Inc. v. Samara Bros.,</w:t>
        </w:r>
      </w:hyperlink>
      <w:hyperlink r:id="rId141" w:history="1">
        <w:r>
          <w:rPr>
            <w:rFonts w:ascii="Times New Roman" w:hAnsi="Times New Roman" w:cs="Times New Roman"/>
            <w:color w:val="0000FF"/>
            <w:sz w:val="24"/>
            <w:szCs w:val="24"/>
          </w:rPr>
          <w:t xml:space="preserve"> 529 U.S. 205 (2000)</w:t>
        </w:r>
      </w:hyperlink>
      <w:r>
        <w:rPr>
          <w:rFonts w:ascii="Times New Roman" w:hAnsi="Times New Roman" w:cs="Times New Roman"/>
          <w:color w:val="000000"/>
          <w:sz w:val="24"/>
          <w:szCs w:val="24"/>
        </w:rPr>
        <w:t xml:space="preserve">; </w:t>
      </w:r>
      <w:hyperlink r:id="rId142" w:history="1">
        <w:r>
          <w:rPr>
            <w:rFonts w:ascii="Times New Roman" w:hAnsi="Times New Roman" w:cs="Times New Roman"/>
            <w:i/>
            <w:iCs/>
            <w:color w:val="0000FF"/>
            <w:sz w:val="24"/>
            <w:szCs w:val="24"/>
          </w:rPr>
          <w:t>Fla. Prepaid Postsecondary Educ. Expense Bd. v. Coll. Sav. Bank,</w:t>
        </w:r>
      </w:hyperlink>
      <w:hyperlink r:id="rId143" w:history="1">
        <w:r>
          <w:rPr>
            <w:rFonts w:ascii="Times New Roman" w:hAnsi="Times New Roman" w:cs="Times New Roman"/>
            <w:color w:val="0000FF"/>
            <w:sz w:val="24"/>
            <w:szCs w:val="24"/>
          </w:rPr>
          <w:t xml:space="preserve"> 527 U.S. 627 (1999)</w:t>
        </w:r>
      </w:hyperlink>
      <w:r>
        <w:rPr>
          <w:rFonts w:ascii="Times New Roman" w:hAnsi="Times New Roman" w:cs="Times New Roman"/>
          <w:color w:val="000000"/>
          <w:sz w:val="24"/>
          <w:szCs w:val="24"/>
        </w:rPr>
        <w:t xml:space="preserve">; </w:t>
      </w:r>
      <w:hyperlink r:id="rId144" w:history="1">
        <w:r>
          <w:rPr>
            <w:rFonts w:ascii="Times New Roman" w:hAnsi="Times New Roman" w:cs="Times New Roman"/>
            <w:i/>
            <w:iCs/>
            <w:color w:val="0000FF"/>
            <w:sz w:val="24"/>
            <w:szCs w:val="24"/>
          </w:rPr>
          <w:t>Qualitex Co. v. Jacobson Prods. Co.,</w:t>
        </w:r>
      </w:hyperlink>
      <w:hyperlink r:id="rId145" w:history="1">
        <w:r>
          <w:rPr>
            <w:rFonts w:ascii="Times New Roman" w:hAnsi="Times New Roman" w:cs="Times New Roman"/>
            <w:color w:val="0000FF"/>
            <w:sz w:val="24"/>
            <w:szCs w:val="24"/>
          </w:rPr>
          <w:t xml:space="preserve"> 514 U.S. 159 (1995)</w:t>
        </w:r>
      </w:hyperlink>
      <w:r>
        <w:rPr>
          <w:rFonts w:ascii="Times New Roman" w:hAnsi="Times New Roman" w:cs="Times New Roman"/>
          <w:color w:val="000000"/>
          <w:sz w:val="24"/>
          <w:szCs w:val="24"/>
        </w:rPr>
        <w:t xml:space="preserve">; </w:t>
      </w:r>
      <w:hyperlink r:id="rId146" w:history="1">
        <w:r>
          <w:rPr>
            <w:rFonts w:ascii="Times New Roman" w:hAnsi="Times New Roman" w:cs="Times New Roman"/>
            <w:i/>
            <w:iCs/>
            <w:color w:val="0000FF"/>
            <w:sz w:val="24"/>
            <w:szCs w:val="24"/>
          </w:rPr>
          <w:t>Two Pesos, Inc. v. Toco Cabana, Inc.,</w:t>
        </w:r>
      </w:hyperlink>
      <w:hyperlink r:id="rId147" w:history="1">
        <w:r>
          <w:rPr>
            <w:rFonts w:ascii="Times New Roman" w:hAnsi="Times New Roman" w:cs="Times New Roman"/>
            <w:color w:val="0000FF"/>
            <w:sz w:val="24"/>
            <w:szCs w:val="24"/>
          </w:rPr>
          <w:t xml:space="preserve"> 505 U.S. 763 (1992)</w:t>
        </w:r>
      </w:hyperlink>
      <w:r>
        <w:rPr>
          <w:rFonts w:ascii="Times New Roman" w:hAnsi="Times New Roman" w:cs="Times New Roman"/>
          <w:color w:val="000000"/>
          <w:sz w:val="24"/>
          <w:szCs w:val="24"/>
        </w:rPr>
        <w:t xml:space="preserve">; and </w:t>
      </w:r>
      <w:hyperlink r:id="rId148" w:history="1">
        <w:r>
          <w:rPr>
            <w:rFonts w:ascii="Times New Roman" w:hAnsi="Times New Roman" w:cs="Times New Roman"/>
            <w:i/>
            <w:iCs/>
            <w:color w:val="0000FF"/>
            <w:sz w:val="24"/>
            <w:szCs w:val="24"/>
          </w:rPr>
          <w:t>K Mart Corp. v. Carrier, Inc.,</w:t>
        </w:r>
      </w:hyperlink>
      <w:hyperlink r:id="rId149" w:history="1">
        <w:r>
          <w:rPr>
            <w:rFonts w:ascii="Times New Roman" w:hAnsi="Times New Roman" w:cs="Times New Roman"/>
            <w:color w:val="0000FF"/>
            <w:sz w:val="24"/>
            <w:szCs w:val="24"/>
          </w:rPr>
          <w:t xml:space="preserve"> 486 U.S. 281 </w:t>
        </w:r>
        <w:r>
          <w:rPr>
            <w:rFonts w:ascii="Times New Roman" w:hAnsi="Times New Roman" w:cs="Times New Roman"/>
            <w:color w:val="0000FF"/>
            <w:sz w:val="24"/>
            <w:szCs w:val="24"/>
          </w:rPr>
          <w:lastRenderedPageBreak/>
          <w:t>(1988)</w:t>
        </w:r>
      </w:hyperlink>
      <w:r>
        <w:rPr>
          <w:rFonts w:ascii="Times New Roman" w:hAnsi="Times New Roman" w:cs="Times New Roman"/>
          <w:color w:val="000000"/>
          <w:sz w:val="24"/>
          <w:szCs w:val="24"/>
        </w:rPr>
        <w:t>.</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*3</w:t>
      </w:r>
      <w:r>
        <w:rPr>
          <w:rFonts w:ascii="Times New Roman" w:hAnsi="Times New Roman" w:cs="Times New Roman"/>
          <w:color w:val="000000"/>
          <w:sz w:val="24"/>
          <w:szCs w:val="24"/>
        </w:rPr>
        <w:t xml:space="preserve"> INTA and its members have a particular interest in this case because the Ninth Circuit's dec</w:t>
      </w:r>
      <w:r>
        <w:rPr>
          <w:rFonts w:ascii="Times New Roman" w:hAnsi="Times New Roman" w:cs="Times New Roman"/>
          <w:color w:val="000000"/>
          <w:sz w:val="24"/>
          <w:szCs w:val="24"/>
        </w:rPr>
        <w:t>i</w:t>
      </w:r>
      <w:r>
        <w:rPr>
          <w:rFonts w:ascii="Times New Roman" w:hAnsi="Times New Roman" w:cs="Times New Roman"/>
          <w:color w:val="000000"/>
          <w:sz w:val="24"/>
          <w:szCs w:val="24"/>
        </w:rPr>
        <w:t>sion risks undermining the protection of consumers and promotion of fair and effective commerce that INTA's members value, and risks undermining the goal of infor</w:t>
      </w:r>
      <w:r>
        <w:rPr>
          <w:rFonts w:ascii="Times New Roman" w:hAnsi="Times New Roman" w:cs="Times New Roman"/>
          <w:color w:val="000000"/>
          <w:sz w:val="24"/>
          <w:szCs w:val="24"/>
        </w:rPr>
        <w:t xml:space="preserve">med decision-making by consumers. INTA (then known as the United States Trademark Association, or </w:t>
      </w:r>
      <w:r>
        <w:rPr>
          <w:rFonts w:ascii="Times New Roman" w:hAnsi="Times New Roman" w:cs="Times New Roman"/>
          <w:color w:val="000000"/>
          <w:sz w:val="24"/>
          <w:szCs w:val="24"/>
        </w:rPr>
        <w:t>“</w:t>
      </w:r>
      <w:r>
        <w:rPr>
          <w:rFonts w:ascii="Times New Roman" w:hAnsi="Times New Roman" w:cs="Times New Roman"/>
          <w:color w:val="000000"/>
          <w:sz w:val="24"/>
          <w:szCs w:val="24"/>
        </w:rPr>
        <w:t>USTA</w:t>
      </w:r>
      <w:r>
        <w:rPr>
          <w:rFonts w:ascii="Times New Roman" w:hAnsi="Times New Roman" w:cs="Times New Roman"/>
          <w:color w:val="000000"/>
          <w:sz w:val="24"/>
          <w:szCs w:val="24"/>
        </w:rPr>
        <w:t>”</w:t>
      </w:r>
      <w:r>
        <w:rPr>
          <w:rFonts w:ascii="Times New Roman" w:hAnsi="Times New Roman" w:cs="Times New Roman"/>
          <w:color w:val="000000"/>
          <w:sz w:val="24"/>
          <w:szCs w:val="24"/>
        </w:rPr>
        <w:t>) was instrumental in the comprehensive revisions to the Lanham Act in 1988, including revisions to Section 43(a).</w:t>
      </w:r>
      <w:r>
        <w:rPr>
          <w:rFonts w:ascii="Times New Roman" w:hAnsi="Times New Roman" w:cs="Times New Roman"/>
          <w:color w:val="000000"/>
          <w:sz w:val="20"/>
          <w:szCs w:val="20"/>
          <w:vertAlign w:val="superscript"/>
        </w:rPr>
        <w:t>[FN3]</w:t>
      </w:r>
      <w:r>
        <w:rPr>
          <w:rFonts w:ascii="Times New Roman" w:hAnsi="Times New Roman" w:cs="Times New Roman"/>
          <w:color w:val="000000"/>
          <w:sz w:val="24"/>
          <w:szCs w:val="24"/>
        </w:rPr>
        <w:t xml:space="preserve"> INTA takes no position with resp</w:t>
      </w:r>
      <w:r>
        <w:rPr>
          <w:rFonts w:ascii="Times New Roman" w:hAnsi="Times New Roman" w:cs="Times New Roman"/>
          <w:color w:val="000000"/>
          <w:sz w:val="24"/>
          <w:szCs w:val="24"/>
        </w:rPr>
        <w:t>ect to the plausibility of the petitioner's all</w:t>
      </w:r>
      <w:r>
        <w:rPr>
          <w:rFonts w:ascii="Times New Roman" w:hAnsi="Times New Roman" w:cs="Times New Roman"/>
          <w:color w:val="000000"/>
          <w:sz w:val="24"/>
          <w:szCs w:val="24"/>
        </w:rPr>
        <w:t>e</w:t>
      </w:r>
      <w:r>
        <w:rPr>
          <w:rFonts w:ascii="Times New Roman" w:hAnsi="Times New Roman" w:cs="Times New Roman"/>
          <w:color w:val="000000"/>
          <w:sz w:val="24"/>
          <w:szCs w:val="24"/>
        </w:rPr>
        <w:t xml:space="preserve">gations or the merits of its substantive claims. However, INTA is deeply concerned that the Ninth Circuit's ruling, which bars Section 43(a) suits when a product's naming and labeling are regulated under the </w:t>
      </w:r>
      <w:r>
        <w:rPr>
          <w:rFonts w:ascii="Times New Roman" w:hAnsi="Times New Roman" w:cs="Times New Roman"/>
          <w:color w:val="000000"/>
          <w:sz w:val="24"/>
          <w:szCs w:val="24"/>
        </w:rPr>
        <w:t>Federal Food Drug &amp; Cosmetic Act (</w:t>
      </w:r>
      <w:r>
        <w:rPr>
          <w:rFonts w:ascii="Times New Roman" w:hAnsi="Times New Roman" w:cs="Times New Roman"/>
          <w:color w:val="000000"/>
          <w:sz w:val="24"/>
          <w:szCs w:val="24"/>
        </w:rPr>
        <w:t>“</w:t>
      </w:r>
      <w:r>
        <w:rPr>
          <w:rFonts w:ascii="Times New Roman" w:hAnsi="Times New Roman" w:cs="Times New Roman"/>
          <w:color w:val="000000"/>
          <w:sz w:val="24"/>
          <w:szCs w:val="24"/>
        </w:rPr>
        <w:t>FDCA</w:t>
      </w:r>
      <w:r>
        <w:rPr>
          <w:rFonts w:ascii="Times New Roman" w:hAnsi="Times New Roman" w:cs="Times New Roman"/>
          <w:color w:val="000000"/>
          <w:sz w:val="24"/>
          <w:szCs w:val="24"/>
        </w:rPr>
        <w:t>”</w:t>
      </w:r>
      <w:r>
        <w:rPr>
          <w:rFonts w:ascii="Times New Roman" w:hAnsi="Times New Roman" w:cs="Times New Roman"/>
          <w:color w:val="000000"/>
          <w:sz w:val="24"/>
          <w:szCs w:val="24"/>
        </w:rPr>
        <w:t>) and by the Food and Drug Administr</w:t>
      </w:r>
      <w:r>
        <w:rPr>
          <w:rFonts w:ascii="Times New Roman" w:hAnsi="Times New Roman" w:cs="Times New Roman"/>
          <w:color w:val="000000"/>
          <w:sz w:val="24"/>
          <w:szCs w:val="24"/>
        </w:rPr>
        <w:t>a</w:t>
      </w:r>
      <w:r>
        <w:rPr>
          <w:rFonts w:ascii="Times New Roman" w:hAnsi="Times New Roman" w:cs="Times New Roman"/>
          <w:color w:val="000000"/>
          <w:sz w:val="24"/>
          <w:szCs w:val="24"/>
        </w:rPr>
        <w:t>tion (</w:t>
      </w:r>
      <w:r>
        <w:rPr>
          <w:rFonts w:ascii="Times New Roman" w:hAnsi="Times New Roman" w:cs="Times New Roman"/>
          <w:color w:val="000000"/>
          <w:sz w:val="24"/>
          <w:szCs w:val="24"/>
        </w:rPr>
        <w:t>“</w:t>
      </w:r>
      <w:r>
        <w:rPr>
          <w:rFonts w:ascii="Times New Roman" w:hAnsi="Times New Roman" w:cs="Times New Roman"/>
          <w:color w:val="000000"/>
          <w:sz w:val="24"/>
          <w:szCs w:val="24"/>
        </w:rPr>
        <w:t>FDA</w:t>
      </w:r>
      <w:r>
        <w:rPr>
          <w:rFonts w:ascii="Times New Roman" w:hAnsi="Times New Roman" w:cs="Times New Roman"/>
          <w:color w:val="000000"/>
          <w:sz w:val="24"/>
          <w:szCs w:val="24"/>
        </w:rPr>
        <w:t>”</w:t>
      </w:r>
      <w:r>
        <w:rPr>
          <w:rFonts w:ascii="Times New Roman" w:hAnsi="Times New Roman" w:cs="Times New Roman"/>
          <w:color w:val="000000"/>
          <w:sz w:val="24"/>
          <w:szCs w:val="24"/>
        </w:rPr>
        <w:t>), will eliminate the ability of businesses to promote fair competition and protect against consumer confusion by combatting false and misleading advertising. This is n</w:t>
      </w:r>
      <w:r>
        <w:rPr>
          <w:rFonts w:ascii="Times New Roman" w:hAnsi="Times New Roman" w:cs="Times New Roman"/>
          <w:color w:val="000000"/>
          <w:sz w:val="24"/>
          <w:szCs w:val="24"/>
        </w:rPr>
        <w:t>ot what Congress intended and it is at odds with the interests of businesses, including many of INTA's members.</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ind w:left="72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FN3. The USTA's 1987 Trademark Review Commission was a precursor to the Trademark Law Revision Act of 1988. </w:t>
      </w:r>
      <w:r>
        <w:rPr>
          <w:rFonts w:ascii="Times New Roman" w:hAnsi="Times New Roman" w:cs="Times New Roman"/>
          <w:i/>
          <w:iCs/>
          <w:color w:val="000000"/>
          <w:sz w:val="24"/>
          <w:szCs w:val="24"/>
        </w:rPr>
        <w:t>See</w:t>
      </w:r>
      <w:r>
        <w:rPr>
          <w:rFonts w:ascii="Times New Roman" w:hAnsi="Times New Roman" w:cs="Times New Roman"/>
          <w:color w:val="000000"/>
          <w:sz w:val="24"/>
          <w:szCs w:val="24"/>
        </w:rPr>
        <w:t xml:space="preserve"> USTA, </w:t>
      </w:r>
      <w:r>
        <w:rPr>
          <w:rFonts w:ascii="Times New Roman" w:hAnsi="Times New Roman" w:cs="Times New Roman"/>
          <w:i/>
          <w:iCs/>
          <w:color w:val="000000"/>
          <w:sz w:val="24"/>
          <w:szCs w:val="24"/>
        </w:rPr>
        <w:t>Trademark Review Commissi</w:t>
      </w:r>
      <w:r>
        <w:rPr>
          <w:rFonts w:ascii="Times New Roman" w:hAnsi="Times New Roman" w:cs="Times New Roman"/>
          <w:i/>
          <w:iCs/>
          <w:color w:val="000000"/>
          <w:sz w:val="24"/>
          <w:szCs w:val="24"/>
        </w:rPr>
        <w:t>on Report and Recommendations to USTA President and Board of Directors, reprinted in</w:t>
      </w:r>
      <w:r>
        <w:rPr>
          <w:rFonts w:ascii="Times New Roman" w:hAnsi="Times New Roman" w:cs="Times New Roman"/>
          <w:color w:val="000000"/>
          <w:sz w:val="24"/>
          <w:szCs w:val="24"/>
        </w:rPr>
        <w:t xml:space="preserve"> The Trademark Law Revision Act of 1988 (1989) (</w:t>
      </w:r>
      <w:r>
        <w:rPr>
          <w:rFonts w:ascii="Times New Roman" w:hAnsi="Times New Roman" w:cs="Times New Roman"/>
          <w:color w:val="000000"/>
          <w:sz w:val="24"/>
          <w:szCs w:val="24"/>
        </w:rPr>
        <w:t>“</w:t>
      </w:r>
      <w:r>
        <w:rPr>
          <w:rFonts w:ascii="Times New Roman" w:hAnsi="Times New Roman" w:cs="Times New Roman"/>
          <w:color w:val="000000"/>
          <w:sz w:val="24"/>
          <w:szCs w:val="24"/>
        </w:rPr>
        <w:t>Commission Report</w:t>
      </w:r>
      <w:r>
        <w:rPr>
          <w:rFonts w:ascii="Times New Roman" w:hAnsi="Times New Roman" w:cs="Times New Roman"/>
          <w:color w:val="000000"/>
          <w:sz w:val="24"/>
          <w:szCs w:val="24"/>
        </w:rPr>
        <w:t>”</w:t>
      </w:r>
      <w:r>
        <w:rPr>
          <w:rFonts w:ascii="Times New Roman" w:hAnsi="Times New Roman" w:cs="Times New Roman"/>
          <w:color w:val="000000"/>
          <w:sz w:val="24"/>
          <w:szCs w:val="24"/>
        </w:rPr>
        <w:t>).</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SUMMARY OF THE ARGUMENT</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The Ninth Circuit's decision needlessly, and erroneously, eliminates an impo</w:t>
      </w:r>
      <w:r>
        <w:rPr>
          <w:rFonts w:ascii="Times New Roman" w:hAnsi="Times New Roman" w:cs="Times New Roman"/>
          <w:color w:val="000000"/>
          <w:sz w:val="24"/>
          <w:szCs w:val="24"/>
        </w:rPr>
        <w:t>rtant, Congressio</w:t>
      </w:r>
      <w:r>
        <w:rPr>
          <w:rFonts w:ascii="Times New Roman" w:hAnsi="Times New Roman" w:cs="Times New Roman"/>
          <w:color w:val="000000"/>
          <w:sz w:val="24"/>
          <w:szCs w:val="24"/>
        </w:rPr>
        <w:t>n</w:t>
      </w:r>
      <w:r>
        <w:rPr>
          <w:rFonts w:ascii="Times New Roman" w:hAnsi="Times New Roman" w:cs="Times New Roman"/>
          <w:color w:val="000000"/>
          <w:sz w:val="24"/>
          <w:szCs w:val="24"/>
        </w:rPr>
        <w:t xml:space="preserve">ally-authorized tool that promotes fair </w:t>
      </w:r>
      <w:r>
        <w:rPr>
          <w:rFonts w:ascii="Times New Roman" w:hAnsi="Times New Roman" w:cs="Times New Roman"/>
          <w:b/>
          <w:bCs/>
          <w:color w:val="000000"/>
          <w:sz w:val="24"/>
          <w:szCs w:val="24"/>
        </w:rPr>
        <w:t>*4</w:t>
      </w:r>
      <w:r>
        <w:rPr>
          <w:rFonts w:ascii="Times New Roman" w:hAnsi="Times New Roman" w:cs="Times New Roman"/>
          <w:color w:val="000000"/>
          <w:sz w:val="24"/>
          <w:szCs w:val="24"/>
        </w:rPr>
        <w:t xml:space="preserve"> competition through challenges to false and misleading advertising. The court of appeals' holding that the claim of Pom Wonderful (</w:t>
      </w:r>
      <w:r>
        <w:rPr>
          <w:rFonts w:ascii="Times New Roman" w:hAnsi="Times New Roman" w:cs="Times New Roman"/>
          <w:color w:val="000000"/>
          <w:sz w:val="24"/>
          <w:szCs w:val="24"/>
        </w:rPr>
        <w:t>“</w:t>
      </w:r>
      <w:r>
        <w:rPr>
          <w:rFonts w:ascii="Times New Roman" w:hAnsi="Times New Roman" w:cs="Times New Roman"/>
          <w:color w:val="000000"/>
          <w:sz w:val="24"/>
          <w:szCs w:val="24"/>
        </w:rPr>
        <w:t>Pom</w:t>
      </w:r>
      <w:r>
        <w:rPr>
          <w:rFonts w:ascii="Times New Roman" w:hAnsi="Times New Roman" w:cs="Times New Roman"/>
          <w:color w:val="000000"/>
          <w:sz w:val="24"/>
          <w:szCs w:val="24"/>
        </w:rPr>
        <w:t>”</w:t>
      </w:r>
      <w:r>
        <w:rPr>
          <w:rFonts w:ascii="Times New Roman" w:hAnsi="Times New Roman" w:cs="Times New Roman"/>
          <w:color w:val="000000"/>
          <w:sz w:val="24"/>
          <w:szCs w:val="24"/>
        </w:rPr>
        <w:t>) under Section 43(a) of the Lanham Act was barred by the F</w:t>
      </w:r>
      <w:r>
        <w:rPr>
          <w:rFonts w:ascii="Times New Roman" w:hAnsi="Times New Roman" w:cs="Times New Roman"/>
          <w:color w:val="000000"/>
          <w:sz w:val="24"/>
          <w:szCs w:val="24"/>
        </w:rPr>
        <w:t xml:space="preserve">DCA's juice labeling scheme disregards this Court's well-established rule that courts must give full effect to allegedly competing federal statutes unless they are in </w:t>
      </w:r>
      <w:r>
        <w:rPr>
          <w:rFonts w:ascii="Times New Roman" w:hAnsi="Times New Roman" w:cs="Times New Roman"/>
          <w:color w:val="000000"/>
          <w:sz w:val="24"/>
          <w:szCs w:val="24"/>
        </w:rPr>
        <w:t>“</w:t>
      </w:r>
      <w:r>
        <w:rPr>
          <w:rFonts w:ascii="Times New Roman" w:hAnsi="Times New Roman" w:cs="Times New Roman"/>
          <w:color w:val="000000"/>
          <w:sz w:val="24"/>
          <w:szCs w:val="24"/>
        </w:rPr>
        <w:t>irreconcilable conflict.</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hyperlink r:id="rId150" w:history="1">
        <w:r>
          <w:rPr>
            <w:rFonts w:ascii="Times New Roman" w:hAnsi="Times New Roman" w:cs="Times New Roman"/>
            <w:i/>
            <w:iCs/>
            <w:color w:val="0000FF"/>
            <w:sz w:val="24"/>
            <w:szCs w:val="24"/>
          </w:rPr>
          <w:t>Branch v. Smith,</w:t>
        </w:r>
      </w:hyperlink>
      <w:hyperlink r:id="rId151" w:history="1">
        <w:r>
          <w:rPr>
            <w:rFonts w:ascii="Times New Roman" w:hAnsi="Times New Roman" w:cs="Times New Roman"/>
            <w:color w:val="0000FF"/>
            <w:sz w:val="24"/>
            <w:szCs w:val="24"/>
          </w:rPr>
          <w:t xml:space="preserve"> 538 U.S. 254, 273 (2003)</w:t>
        </w:r>
      </w:hyperlink>
      <w:r>
        <w:rPr>
          <w:rFonts w:ascii="Times New Roman" w:hAnsi="Times New Roman" w:cs="Times New Roman"/>
          <w:color w:val="000000"/>
          <w:sz w:val="24"/>
          <w:szCs w:val="24"/>
        </w:rPr>
        <w:t>.</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The Lanham Act and the FDCA can and do coexist without conflict. Congress intended Section 43(a) to give businesses a right to challenge false and misleading advertising through private a</w:t>
      </w:r>
      <w:r>
        <w:rPr>
          <w:rFonts w:ascii="Times New Roman" w:hAnsi="Times New Roman" w:cs="Times New Roman"/>
          <w:color w:val="000000"/>
          <w:sz w:val="24"/>
          <w:szCs w:val="24"/>
        </w:rPr>
        <w:t>c</w:t>
      </w:r>
      <w:r>
        <w:rPr>
          <w:rFonts w:ascii="Times New Roman" w:hAnsi="Times New Roman" w:cs="Times New Roman"/>
          <w:color w:val="000000"/>
          <w:sz w:val="24"/>
          <w:szCs w:val="24"/>
        </w:rPr>
        <w:t xml:space="preserve">tions. By contrast, the </w:t>
      </w:r>
      <w:r>
        <w:rPr>
          <w:rFonts w:ascii="Times New Roman" w:hAnsi="Times New Roman" w:cs="Times New Roman"/>
          <w:color w:val="000000"/>
          <w:sz w:val="24"/>
          <w:szCs w:val="24"/>
        </w:rPr>
        <w:t xml:space="preserve">FDCA and the FDA's regulation of </w:t>
      </w:r>
      <w:r>
        <w:rPr>
          <w:rFonts w:ascii="Times New Roman" w:hAnsi="Times New Roman" w:cs="Times New Roman"/>
          <w:color w:val="000000"/>
          <w:sz w:val="24"/>
          <w:szCs w:val="24"/>
        </w:rPr>
        <w:t>“</w:t>
      </w:r>
      <w:r>
        <w:rPr>
          <w:rFonts w:ascii="Times New Roman" w:hAnsi="Times New Roman" w:cs="Times New Roman"/>
          <w:color w:val="000000"/>
          <w:sz w:val="24"/>
          <w:szCs w:val="24"/>
        </w:rPr>
        <w:t>misbranded</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food is not intended to be - and has never been - an effective substitute for Lanham Act suits. If the FDA's regulatory a</w:t>
      </w:r>
      <w:r>
        <w:rPr>
          <w:rFonts w:ascii="Times New Roman" w:hAnsi="Times New Roman" w:cs="Times New Roman"/>
          <w:color w:val="000000"/>
          <w:sz w:val="24"/>
          <w:szCs w:val="24"/>
        </w:rPr>
        <w:t>u</w:t>
      </w:r>
      <w:r>
        <w:rPr>
          <w:rFonts w:ascii="Times New Roman" w:hAnsi="Times New Roman" w:cs="Times New Roman"/>
          <w:color w:val="000000"/>
          <w:sz w:val="24"/>
          <w:szCs w:val="24"/>
        </w:rPr>
        <w:t xml:space="preserve">thority is permitted to trump the Lanham Act, then U.S. businesses will be left without </w:t>
      </w:r>
      <w:r>
        <w:rPr>
          <w:rFonts w:ascii="Times New Roman" w:hAnsi="Times New Roman" w:cs="Times New Roman"/>
          <w:color w:val="000000"/>
          <w:sz w:val="24"/>
          <w:szCs w:val="24"/>
        </w:rPr>
        <w:t xml:space="preserve">a federal remedy for false advertising of many types, contrary to Congress's intent, and at odds with the </w:t>
      </w:r>
      <w:r>
        <w:rPr>
          <w:rFonts w:ascii="Times New Roman" w:hAnsi="Times New Roman" w:cs="Times New Roman"/>
          <w:color w:val="000000"/>
          <w:sz w:val="24"/>
          <w:szCs w:val="24"/>
        </w:rPr>
        <w:lastRenderedPageBreak/>
        <w:t>interests of businesses and consumers.</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Not only is there no inherent conflict, the Lanham Act and FDCA actually work in tandem to ensure accurate and</w:t>
      </w:r>
      <w:r>
        <w:rPr>
          <w:rFonts w:ascii="Times New Roman" w:hAnsi="Times New Roman" w:cs="Times New Roman"/>
          <w:color w:val="000000"/>
          <w:sz w:val="24"/>
          <w:szCs w:val="24"/>
        </w:rPr>
        <w:t xml:space="preserve"> fair promotion of food, drugs and cosmetics. While FDA regulation plays an essential regulatory role, private business competitors are in the best position to understand the perpetual threats of false and misleading advertisements as they arise, and to co</w:t>
      </w:r>
      <w:r>
        <w:rPr>
          <w:rFonts w:ascii="Times New Roman" w:hAnsi="Times New Roman" w:cs="Times New Roman"/>
          <w:color w:val="000000"/>
          <w:sz w:val="24"/>
          <w:szCs w:val="24"/>
        </w:rPr>
        <w:t>ntest them through Lanham Act suits. Businesses are better suited than the federal government to expend the r</w:t>
      </w:r>
      <w:r>
        <w:rPr>
          <w:rFonts w:ascii="Times New Roman" w:hAnsi="Times New Roman" w:cs="Times New Roman"/>
          <w:color w:val="000000"/>
          <w:sz w:val="24"/>
          <w:szCs w:val="24"/>
        </w:rPr>
        <w:t>e</w:t>
      </w:r>
      <w:r>
        <w:rPr>
          <w:rFonts w:ascii="Times New Roman" w:hAnsi="Times New Roman" w:cs="Times New Roman"/>
          <w:color w:val="000000"/>
          <w:sz w:val="24"/>
          <w:szCs w:val="24"/>
        </w:rPr>
        <w:t xml:space="preserve">sources needed to challenge specific instances of false and misleading advertising. By contrast, the FDA and other federal agencies will never be </w:t>
      </w:r>
      <w:r>
        <w:rPr>
          <w:rFonts w:ascii="Times New Roman" w:hAnsi="Times New Roman" w:cs="Times New Roman"/>
          <w:color w:val="000000"/>
          <w:sz w:val="24"/>
          <w:szCs w:val="24"/>
        </w:rPr>
        <w:t>able to devote the same resources to combat pa</w:t>
      </w:r>
      <w:r>
        <w:rPr>
          <w:rFonts w:ascii="Times New Roman" w:hAnsi="Times New Roman" w:cs="Times New Roman"/>
          <w:color w:val="000000"/>
          <w:sz w:val="24"/>
          <w:szCs w:val="24"/>
        </w:rPr>
        <w:t>r</w:t>
      </w:r>
      <w:r>
        <w:rPr>
          <w:rFonts w:ascii="Times New Roman" w:hAnsi="Times New Roman" w:cs="Times New Roman"/>
          <w:color w:val="000000"/>
          <w:sz w:val="24"/>
          <w:szCs w:val="24"/>
        </w:rPr>
        <w:t xml:space="preserve">ticular advertisements, or </w:t>
      </w:r>
      <w:r>
        <w:rPr>
          <w:rFonts w:ascii="Times New Roman" w:hAnsi="Times New Roman" w:cs="Times New Roman"/>
          <w:b/>
          <w:bCs/>
          <w:color w:val="000000"/>
          <w:sz w:val="24"/>
          <w:szCs w:val="24"/>
        </w:rPr>
        <w:t>*5</w:t>
      </w:r>
      <w:r>
        <w:rPr>
          <w:rFonts w:ascii="Times New Roman" w:hAnsi="Times New Roman" w:cs="Times New Roman"/>
          <w:color w:val="000000"/>
          <w:sz w:val="24"/>
          <w:szCs w:val="24"/>
        </w:rPr>
        <w:t xml:space="preserve"> provide the remedies that the Lanham Act authorizes. The FDA is well-suited to promulgate and enforce minimum standards that promote the accuracy and clarity of food, drug and cos</w:t>
      </w:r>
      <w:r>
        <w:rPr>
          <w:rFonts w:ascii="Times New Roman" w:hAnsi="Times New Roman" w:cs="Times New Roman"/>
          <w:color w:val="000000"/>
          <w:sz w:val="24"/>
          <w:szCs w:val="24"/>
        </w:rPr>
        <w:t>metic labeling, but not to investigate whether a specific label that meets those standards nonetheless misleads or confuses consumers.</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Section 43(a) harnesses the interests of competitors to enable them to act as the avengers of the public interest by red</w:t>
      </w:r>
      <w:r>
        <w:rPr>
          <w:rFonts w:ascii="Times New Roman" w:hAnsi="Times New Roman" w:cs="Times New Roman"/>
          <w:color w:val="000000"/>
          <w:sz w:val="24"/>
          <w:szCs w:val="24"/>
        </w:rPr>
        <w:t>ucing consumer confusion and ensuring accurate and fair advertising. The Ninth Circuit eliminates this benefit to the public, relying on federal agencies to police false and misleading advertising through the slow channels of regulation and enforcement. Be</w:t>
      </w:r>
      <w:r>
        <w:rPr>
          <w:rFonts w:ascii="Times New Roman" w:hAnsi="Times New Roman" w:cs="Times New Roman"/>
          <w:color w:val="000000"/>
          <w:sz w:val="24"/>
          <w:szCs w:val="24"/>
        </w:rPr>
        <w:t xml:space="preserve">cause the FDA has not vigorously pursued misleading food labels, the Ninth Circuit's ruling would, in practice, leave beverage labeling largely un-policed. Moreover, the decision's sweeping reasoning could extend to other food and drug items, and to other </w:t>
      </w:r>
      <w:r>
        <w:rPr>
          <w:rFonts w:ascii="Times New Roman" w:hAnsi="Times New Roman" w:cs="Times New Roman"/>
          <w:color w:val="000000"/>
          <w:sz w:val="24"/>
          <w:szCs w:val="24"/>
        </w:rPr>
        <w:t>federal agencies. By reversing the Ninth Circuit's decision, the Court recognizes Congress's intent to enact a broad, federal unfair comp</w:t>
      </w:r>
      <w:r>
        <w:rPr>
          <w:rFonts w:ascii="Times New Roman" w:hAnsi="Times New Roman" w:cs="Times New Roman"/>
          <w:color w:val="000000"/>
          <w:sz w:val="24"/>
          <w:szCs w:val="24"/>
        </w:rPr>
        <w:t>e</w:t>
      </w:r>
      <w:r>
        <w:rPr>
          <w:rFonts w:ascii="Times New Roman" w:hAnsi="Times New Roman" w:cs="Times New Roman"/>
          <w:color w:val="000000"/>
          <w:sz w:val="24"/>
          <w:szCs w:val="24"/>
        </w:rPr>
        <w:t>tition law that promotes fair business competition and benefits the public interest.</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ARGUMENT</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I. THE NINTH CIRCUIT'S DECISION ERRONEOUSLY ELIMINATES AN IMPORTANT TOOL FOR COMBATTING FALSE OR MISLEADING ADVERTISING AND PROMOTING A FAIR MARKETPLACE.</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The decision below gives broad preclusive effect to the FDCA's juice labeling scheme over claims for </w:t>
      </w:r>
      <w:r>
        <w:rPr>
          <w:rFonts w:ascii="Times New Roman" w:hAnsi="Times New Roman" w:cs="Times New Roman"/>
          <w:color w:val="000000"/>
          <w:sz w:val="24"/>
          <w:szCs w:val="24"/>
        </w:rPr>
        <w:t xml:space="preserve">false and misleading advertising under Section 43(a) </w:t>
      </w:r>
      <w:r>
        <w:rPr>
          <w:rFonts w:ascii="Times New Roman" w:hAnsi="Times New Roman" w:cs="Times New Roman"/>
          <w:b/>
          <w:bCs/>
          <w:color w:val="000000"/>
          <w:sz w:val="24"/>
          <w:szCs w:val="24"/>
        </w:rPr>
        <w:t>*6</w:t>
      </w:r>
      <w:r>
        <w:rPr>
          <w:rFonts w:ascii="Times New Roman" w:hAnsi="Times New Roman" w:cs="Times New Roman"/>
          <w:color w:val="000000"/>
          <w:sz w:val="24"/>
          <w:szCs w:val="24"/>
        </w:rPr>
        <w:t xml:space="preserve"> of the Lanham Act. That holding and its sweeping reasoning should not stand. Congress endowed the Lanham Act and the FDCA (and the FDA's implementing regulations) with different purposes. As applied h</w:t>
      </w:r>
      <w:r>
        <w:rPr>
          <w:rFonts w:ascii="Times New Roman" w:hAnsi="Times New Roman" w:cs="Times New Roman"/>
          <w:color w:val="000000"/>
          <w:sz w:val="24"/>
          <w:szCs w:val="24"/>
        </w:rPr>
        <w:t xml:space="preserve">ere, the statutes have no conflict - much less an </w:t>
      </w:r>
      <w:r>
        <w:rPr>
          <w:rFonts w:ascii="Times New Roman" w:hAnsi="Times New Roman" w:cs="Times New Roman"/>
          <w:color w:val="000000"/>
          <w:sz w:val="24"/>
          <w:szCs w:val="24"/>
        </w:rPr>
        <w:t>“</w:t>
      </w:r>
      <w:r>
        <w:rPr>
          <w:rFonts w:ascii="Times New Roman" w:hAnsi="Times New Roman" w:cs="Times New Roman"/>
          <w:color w:val="000000"/>
          <w:sz w:val="24"/>
          <w:szCs w:val="24"/>
        </w:rPr>
        <w:t>irreconcilable</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conflict. To the contrary, Section 43(a) and the FDCA complement one another, and work in tandem to promote fair commerce and protect the public. </w:t>
      </w:r>
      <w:r>
        <w:rPr>
          <w:rFonts w:ascii="Times New Roman" w:hAnsi="Times New Roman" w:cs="Times New Roman"/>
          <w:color w:val="000000"/>
          <w:sz w:val="24"/>
          <w:szCs w:val="24"/>
        </w:rPr>
        <w:lastRenderedPageBreak/>
        <w:t>This Court, unlike the court of appeals, sh</w:t>
      </w:r>
      <w:r>
        <w:rPr>
          <w:rFonts w:ascii="Times New Roman" w:hAnsi="Times New Roman" w:cs="Times New Roman"/>
          <w:color w:val="000000"/>
          <w:sz w:val="24"/>
          <w:szCs w:val="24"/>
        </w:rPr>
        <w:t>ould give both statutes full effect.</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A. The Lanham Act And The FDCA Have Different Purposes.</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In enacting the Trademark (Lanham) Act of 1946, Ch. 540, 60 Stat. 427, as amended, Congress intended to </w:t>
      </w:r>
      <w:r>
        <w:rPr>
          <w:rFonts w:ascii="Times New Roman" w:hAnsi="Times New Roman" w:cs="Times New Roman"/>
          <w:color w:val="000000"/>
          <w:sz w:val="24"/>
          <w:szCs w:val="24"/>
        </w:rPr>
        <w:t>“</w:t>
      </w:r>
      <w:r>
        <w:rPr>
          <w:rFonts w:ascii="Times New Roman" w:hAnsi="Times New Roman" w:cs="Times New Roman"/>
          <w:color w:val="000000"/>
          <w:sz w:val="24"/>
          <w:szCs w:val="24"/>
        </w:rPr>
        <w:t>regulate commerce *** by making actionable the deceptive</w:t>
      </w:r>
      <w:r>
        <w:rPr>
          <w:rFonts w:ascii="Times New Roman" w:hAnsi="Times New Roman" w:cs="Times New Roman"/>
          <w:color w:val="000000"/>
          <w:sz w:val="24"/>
          <w:szCs w:val="24"/>
        </w:rPr>
        <w:t xml:space="preserve"> and misleading use of marks in such commerce ***</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and </w:t>
      </w:r>
      <w:r>
        <w:rPr>
          <w:rFonts w:ascii="Times New Roman" w:hAnsi="Times New Roman" w:cs="Times New Roman"/>
          <w:color w:val="000000"/>
          <w:sz w:val="24"/>
          <w:szCs w:val="24"/>
        </w:rPr>
        <w:t>“</w:t>
      </w:r>
      <w:r>
        <w:rPr>
          <w:rFonts w:ascii="Times New Roman" w:hAnsi="Times New Roman" w:cs="Times New Roman"/>
          <w:color w:val="000000"/>
          <w:sz w:val="24"/>
          <w:szCs w:val="24"/>
        </w:rPr>
        <w:t>protect persons engaged in such commerce against unfair competition.</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hyperlink r:id="rId152" w:history="1">
        <w:r>
          <w:rPr>
            <w:rFonts w:ascii="Times New Roman" w:hAnsi="Times New Roman" w:cs="Times New Roman"/>
            <w:color w:val="0000FF"/>
            <w:sz w:val="24"/>
            <w:szCs w:val="24"/>
          </w:rPr>
          <w:t>15 U.S.C. § 1127</w:t>
        </w:r>
      </w:hyperlink>
      <w:r>
        <w:rPr>
          <w:rFonts w:ascii="Times New Roman" w:hAnsi="Times New Roman" w:cs="Times New Roman"/>
          <w:color w:val="000000"/>
          <w:sz w:val="24"/>
          <w:szCs w:val="24"/>
        </w:rPr>
        <w:t>.</w:t>
      </w:r>
      <w:r>
        <w:rPr>
          <w:rFonts w:ascii="Times New Roman" w:hAnsi="Times New Roman" w:cs="Times New Roman"/>
          <w:color w:val="000000"/>
          <w:sz w:val="20"/>
          <w:szCs w:val="20"/>
          <w:vertAlign w:val="superscript"/>
        </w:rPr>
        <w:t>[</w:t>
      </w:r>
      <w:r>
        <w:rPr>
          <w:rFonts w:ascii="Times New Roman" w:hAnsi="Times New Roman" w:cs="Times New Roman"/>
          <w:color w:val="000000"/>
          <w:sz w:val="20"/>
          <w:szCs w:val="20"/>
          <w:vertAlign w:val="superscript"/>
        </w:rPr>
        <w:t>FN4]</w:t>
      </w:r>
      <w:r>
        <w:rPr>
          <w:rFonts w:ascii="Times New Roman" w:hAnsi="Times New Roman" w:cs="Times New Roman"/>
          <w:color w:val="000000"/>
          <w:sz w:val="24"/>
          <w:szCs w:val="24"/>
        </w:rPr>
        <w:t xml:space="preserve"> Since its enactment in 1946, courts have widely interpreted Section 43(a) of the Lanham Act </w:t>
      </w:r>
      <w:r>
        <w:rPr>
          <w:rFonts w:ascii="Times New Roman" w:hAnsi="Times New Roman" w:cs="Times New Roman"/>
          <w:color w:val="000000"/>
          <w:sz w:val="24"/>
          <w:szCs w:val="24"/>
        </w:rPr>
        <w:t>“</w:t>
      </w:r>
      <w:r>
        <w:rPr>
          <w:rFonts w:ascii="Times New Roman" w:hAnsi="Times New Roman" w:cs="Times New Roman"/>
          <w:color w:val="000000"/>
          <w:sz w:val="24"/>
          <w:szCs w:val="24"/>
        </w:rPr>
        <w:t>as creating, in essence, a federal law of unfair competition.</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S. Rep. No. 515, 100th Cong., 2nd Sess. 1988 (Sept. 15, 1988), </w:t>
      </w:r>
      <w:r>
        <w:rPr>
          <w:rFonts w:ascii="Times New Roman" w:hAnsi="Times New Roman" w:cs="Times New Roman"/>
          <w:i/>
          <w:iCs/>
          <w:color w:val="000000"/>
          <w:sz w:val="24"/>
          <w:szCs w:val="24"/>
        </w:rPr>
        <w:t>reprinted in</w:t>
      </w:r>
      <w:r>
        <w:rPr>
          <w:rFonts w:ascii="Times New Roman" w:hAnsi="Times New Roman" w:cs="Times New Roman"/>
          <w:color w:val="000000"/>
          <w:sz w:val="24"/>
          <w:szCs w:val="24"/>
        </w:rPr>
        <w:t xml:space="preserve"> 1988 U.S.C.C.A.N. 5</w:t>
      </w:r>
      <w:r>
        <w:rPr>
          <w:rFonts w:ascii="Times New Roman" w:hAnsi="Times New Roman" w:cs="Times New Roman"/>
          <w:color w:val="000000"/>
          <w:sz w:val="24"/>
          <w:szCs w:val="24"/>
        </w:rPr>
        <w:t xml:space="preserve">577, 5603, 1988 WL 170248. By the 1970s, the courts' broad interpretations of Section 43(a) had transformed the provision into </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a potent, far-reaching, commercial Bill of Rights for </w:t>
      </w:r>
      <w:r>
        <w:rPr>
          <w:rFonts w:ascii="Times New Roman" w:hAnsi="Times New Roman" w:cs="Times New Roman"/>
          <w:b/>
          <w:bCs/>
          <w:color w:val="000000"/>
          <w:sz w:val="24"/>
          <w:szCs w:val="24"/>
        </w:rPr>
        <w:t>*7</w:t>
      </w:r>
      <w:r>
        <w:rPr>
          <w:rFonts w:ascii="Times New Roman" w:hAnsi="Times New Roman" w:cs="Times New Roman"/>
          <w:color w:val="000000"/>
          <w:sz w:val="24"/>
          <w:szCs w:val="24"/>
        </w:rPr>
        <w:t xml:space="preserve"> the honest businessman,</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that reached </w:t>
      </w:r>
      <w:r>
        <w:rPr>
          <w:rFonts w:ascii="Times New Roman" w:hAnsi="Times New Roman" w:cs="Times New Roman"/>
          <w:color w:val="000000"/>
          <w:sz w:val="24"/>
          <w:szCs w:val="24"/>
        </w:rPr>
        <w:t>“</w:t>
      </w:r>
      <w:r>
        <w:rPr>
          <w:rFonts w:ascii="Times New Roman" w:hAnsi="Times New Roman" w:cs="Times New Roman"/>
          <w:color w:val="000000"/>
          <w:sz w:val="24"/>
          <w:szCs w:val="24"/>
        </w:rPr>
        <w:t>almost towering stature as a wea</w:t>
      </w:r>
      <w:r>
        <w:rPr>
          <w:rFonts w:ascii="Times New Roman" w:hAnsi="Times New Roman" w:cs="Times New Roman"/>
          <w:color w:val="000000"/>
          <w:sz w:val="24"/>
          <w:szCs w:val="24"/>
        </w:rPr>
        <w:t>pon to combat *** unfair compet</w:t>
      </w:r>
      <w:r>
        <w:rPr>
          <w:rFonts w:ascii="Times New Roman" w:hAnsi="Times New Roman" w:cs="Times New Roman"/>
          <w:color w:val="000000"/>
          <w:sz w:val="24"/>
          <w:szCs w:val="24"/>
        </w:rPr>
        <w:t>i</w:t>
      </w:r>
      <w:r>
        <w:rPr>
          <w:rFonts w:ascii="Times New Roman" w:hAnsi="Times New Roman" w:cs="Times New Roman"/>
          <w:color w:val="000000"/>
          <w:sz w:val="24"/>
          <w:szCs w:val="24"/>
        </w:rPr>
        <w:t>tion.</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See</w:t>
      </w:r>
      <w:r>
        <w:rPr>
          <w:rFonts w:ascii="Times New Roman" w:hAnsi="Times New Roman" w:cs="Times New Roman"/>
          <w:color w:val="000000"/>
          <w:sz w:val="24"/>
          <w:szCs w:val="24"/>
        </w:rPr>
        <w:t xml:space="preserve"> Commission Report, </w:t>
      </w:r>
      <w:r>
        <w:rPr>
          <w:rFonts w:ascii="Times New Roman" w:hAnsi="Times New Roman" w:cs="Times New Roman"/>
          <w:i/>
          <w:iCs/>
          <w:color w:val="000000"/>
          <w:sz w:val="24"/>
          <w:szCs w:val="24"/>
        </w:rPr>
        <w:t>supra,</w:t>
      </w:r>
      <w:r>
        <w:rPr>
          <w:rFonts w:ascii="Times New Roman" w:hAnsi="Times New Roman" w:cs="Times New Roman"/>
          <w:color w:val="000000"/>
          <w:sz w:val="24"/>
          <w:szCs w:val="24"/>
        </w:rPr>
        <w:t xml:space="preserve"> at 378.</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ind w:left="72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FN4. Congressman Fritz Lanham, the bill's sponsor, stated that </w:t>
      </w:r>
      <w:r>
        <w:rPr>
          <w:rFonts w:ascii="Times New Roman" w:hAnsi="Times New Roman" w:cs="Times New Roman"/>
          <w:color w:val="000000"/>
          <w:sz w:val="24"/>
          <w:szCs w:val="24"/>
        </w:rPr>
        <w:t>“</w:t>
      </w:r>
      <w:r>
        <w:rPr>
          <w:rFonts w:ascii="Times New Roman" w:hAnsi="Times New Roman" w:cs="Times New Roman"/>
          <w:color w:val="000000"/>
          <w:sz w:val="24"/>
          <w:szCs w:val="24"/>
        </w:rPr>
        <w:t>[t]he purpose of [the Act] is to protect legitimate business and the consumers of the country.</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92 Cong. Rec. 7524</w:t>
      </w:r>
      <w:r>
        <w:rPr>
          <w:rFonts w:ascii="Times New Roman" w:hAnsi="Times New Roman" w:cs="Times New Roman"/>
          <w:color w:val="000000"/>
          <w:sz w:val="24"/>
          <w:szCs w:val="24"/>
        </w:rPr>
        <w:t xml:space="preserve"> (1946). </w:t>
      </w:r>
      <w:r>
        <w:rPr>
          <w:rFonts w:ascii="Times New Roman" w:hAnsi="Times New Roman" w:cs="Times New Roman"/>
          <w:i/>
          <w:iCs/>
          <w:color w:val="000000"/>
          <w:sz w:val="24"/>
          <w:szCs w:val="24"/>
        </w:rPr>
        <w:t xml:space="preserve">See also </w:t>
      </w:r>
      <w:hyperlink r:id="rId153" w:history="1">
        <w:r>
          <w:rPr>
            <w:rFonts w:ascii="Times New Roman" w:hAnsi="Times New Roman" w:cs="Times New Roman"/>
            <w:i/>
            <w:iCs/>
            <w:color w:val="0000FF"/>
            <w:sz w:val="24"/>
            <w:szCs w:val="24"/>
          </w:rPr>
          <w:t>Two Pesos, Inc.,</w:t>
        </w:r>
      </w:hyperlink>
      <w:hyperlink r:id="rId154" w:history="1">
        <w:r>
          <w:rPr>
            <w:rFonts w:ascii="Times New Roman" w:hAnsi="Times New Roman" w:cs="Times New Roman"/>
            <w:color w:val="0000FF"/>
            <w:sz w:val="24"/>
            <w:szCs w:val="24"/>
          </w:rPr>
          <w:t xml:space="preserve"> 505 U.S. at 782 n.15</w:t>
        </w:r>
      </w:hyperlink>
      <w:r>
        <w:rPr>
          <w:rFonts w:ascii="Times New Roman" w:hAnsi="Times New Roman" w:cs="Times New Roman"/>
          <w:color w:val="000000"/>
          <w:sz w:val="24"/>
          <w:szCs w:val="24"/>
        </w:rPr>
        <w:t xml:space="preserve"> (Stevens, J., concurring) (noting Congress's intent to advance the dual goals of fostering fair competition and protecting the public from</w:t>
      </w:r>
      <w:r>
        <w:rPr>
          <w:rFonts w:ascii="Times New Roman" w:hAnsi="Times New Roman" w:cs="Times New Roman"/>
          <w:color w:val="000000"/>
          <w:sz w:val="24"/>
          <w:szCs w:val="24"/>
        </w:rPr>
        <w:t xml:space="preserve"> deceit).</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In 1988, with INTA's active support, Congress amended Section 43(a) </w:t>
      </w:r>
      <w:r>
        <w:rPr>
          <w:rFonts w:ascii="Times New Roman" w:hAnsi="Times New Roman" w:cs="Times New Roman"/>
          <w:color w:val="000000"/>
          <w:sz w:val="24"/>
          <w:szCs w:val="24"/>
        </w:rPr>
        <w:t>“</w:t>
      </w:r>
      <w:r>
        <w:rPr>
          <w:rFonts w:ascii="Times New Roman" w:hAnsi="Times New Roman" w:cs="Times New Roman"/>
          <w:color w:val="000000"/>
          <w:sz w:val="24"/>
          <w:szCs w:val="24"/>
        </w:rPr>
        <w:t>to codify the interpretation it has been given by the courts.</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S. Rep. No. 515, 100th Cong., 2nd Sess. 1988, </w:t>
      </w:r>
      <w:r>
        <w:rPr>
          <w:rFonts w:ascii="Times New Roman" w:hAnsi="Times New Roman" w:cs="Times New Roman"/>
          <w:i/>
          <w:iCs/>
          <w:color w:val="000000"/>
          <w:sz w:val="24"/>
          <w:szCs w:val="24"/>
        </w:rPr>
        <w:t xml:space="preserve">supra; see also </w:t>
      </w:r>
      <w:hyperlink r:id="rId155" w:history="1">
        <w:r>
          <w:rPr>
            <w:rFonts w:ascii="Times New Roman" w:hAnsi="Times New Roman" w:cs="Times New Roman"/>
            <w:i/>
            <w:iCs/>
            <w:color w:val="0000FF"/>
            <w:sz w:val="24"/>
            <w:szCs w:val="24"/>
          </w:rPr>
          <w:t>Two Pesos, Inc.,</w:t>
        </w:r>
      </w:hyperlink>
      <w:hyperlink r:id="rId156" w:history="1">
        <w:r>
          <w:rPr>
            <w:rFonts w:ascii="Times New Roman" w:hAnsi="Times New Roman" w:cs="Times New Roman"/>
            <w:color w:val="0000FF"/>
            <w:sz w:val="24"/>
            <w:szCs w:val="24"/>
          </w:rPr>
          <w:t xml:space="preserve"> 505 U.S. at 783</w:t>
        </w:r>
      </w:hyperlink>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[I]n the Trademark Law Revision Act of 1988 *** Congress codified the judicial interpretation of § 43(a), giving its </w:t>
      </w:r>
      <w:r>
        <w:rPr>
          <w:rFonts w:ascii="Times New Roman" w:hAnsi="Times New Roman" w:cs="Times New Roman"/>
          <w:i/>
          <w:iCs/>
          <w:color w:val="000000"/>
          <w:sz w:val="24"/>
          <w:szCs w:val="24"/>
        </w:rPr>
        <w:t>imprimatur</w:t>
      </w:r>
      <w:r>
        <w:rPr>
          <w:rFonts w:ascii="Times New Roman" w:hAnsi="Times New Roman" w:cs="Times New Roman"/>
          <w:color w:val="000000"/>
          <w:sz w:val="24"/>
          <w:szCs w:val="24"/>
        </w:rPr>
        <w:t xml:space="preserve"> to a growing body of case law from the Circuits that had expanded the section beyo</w:t>
      </w:r>
      <w:r>
        <w:rPr>
          <w:rFonts w:ascii="Times New Roman" w:hAnsi="Times New Roman" w:cs="Times New Roman"/>
          <w:color w:val="000000"/>
          <w:sz w:val="24"/>
          <w:szCs w:val="24"/>
        </w:rPr>
        <w:t>nd its original language.</w:t>
      </w:r>
      <w:r>
        <w:rPr>
          <w:rFonts w:ascii="Times New Roman" w:hAnsi="Times New Roman" w:cs="Times New Roman"/>
          <w:color w:val="000000"/>
          <w:sz w:val="24"/>
          <w:szCs w:val="24"/>
        </w:rPr>
        <w:t>”</w:t>
      </w:r>
      <w:r>
        <w:rPr>
          <w:rFonts w:ascii="Times New Roman" w:hAnsi="Times New Roman" w:cs="Times New Roman"/>
          <w:color w:val="000000"/>
          <w:sz w:val="24"/>
          <w:szCs w:val="24"/>
        </w:rPr>
        <w:t>).</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As amended, Section 43(a) of the Lanham Act creates a private civil action against </w:t>
      </w:r>
      <w:r>
        <w:rPr>
          <w:rFonts w:ascii="Times New Roman" w:hAnsi="Times New Roman" w:cs="Times New Roman"/>
          <w:color w:val="000000"/>
          <w:sz w:val="24"/>
          <w:szCs w:val="24"/>
        </w:rPr>
        <w:t>“</w:t>
      </w:r>
      <w:r>
        <w:rPr>
          <w:rFonts w:ascii="Times New Roman" w:hAnsi="Times New Roman" w:cs="Times New Roman"/>
          <w:color w:val="000000"/>
          <w:sz w:val="24"/>
          <w:szCs w:val="24"/>
        </w:rPr>
        <w:t>[a]ny person who, on or in connection with *** any container for goods, uses in commerce any word, term, name, symbol, or device, or any combi</w:t>
      </w:r>
      <w:r>
        <w:rPr>
          <w:rFonts w:ascii="Times New Roman" w:hAnsi="Times New Roman" w:cs="Times New Roman"/>
          <w:color w:val="000000"/>
          <w:sz w:val="24"/>
          <w:szCs w:val="24"/>
        </w:rPr>
        <w:t>nation thereof *** which *** misrepresents the nature, characteristics, (or) qualities *** of his *** goods.</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hyperlink r:id="rId157" w:history="1">
        <w:r>
          <w:rPr>
            <w:rFonts w:ascii="Times New Roman" w:hAnsi="Times New Roman" w:cs="Times New Roman"/>
            <w:color w:val="0000FF"/>
            <w:sz w:val="24"/>
            <w:szCs w:val="24"/>
          </w:rPr>
          <w:t>15 U.S.C. § 1125(a)(1)</w:t>
        </w:r>
      </w:hyperlink>
      <w:r>
        <w:rPr>
          <w:rFonts w:ascii="Times New Roman" w:hAnsi="Times New Roman" w:cs="Times New Roman"/>
          <w:color w:val="000000"/>
          <w:sz w:val="24"/>
          <w:szCs w:val="24"/>
        </w:rPr>
        <w:t xml:space="preserve">. An action may be brought </w:t>
      </w:r>
      <w:r>
        <w:rPr>
          <w:rFonts w:ascii="Times New Roman" w:hAnsi="Times New Roman" w:cs="Times New Roman"/>
          <w:color w:val="000000"/>
          <w:sz w:val="24"/>
          <w:szCs w:val="24"/>
        </w:rPr>
        <w:t>“</w:t>
      </w:r>
      <w:r>
        <w:rPr>
          <w:rFonts w:ascii="Times New Roman" w:hAnsi="Times New Roman" w:cs="Times New Roman"/>
          <w:color w:val="000000"/>
          <w:sz w:val="24"/>
          <w:szCs w:val="24"/>
        </w:rPr>
        <w:t>by any person who believes that he or she is likely to be damaged by such an act.</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Id.</w:t>
      </w:r>
      <w:r>
        <w:rPr>
          <w:rFonts w:ascii="Times New Roman" w:hAnsi="Times New Roman" w:cs="Times New Roman"/>
          <w:color w:val="000000"/>
          <w:sz w:val="24"/>
          <w:szCs w:val="24"/>
        </w:rPr>
        <w:t xml:space="preserve"> The Lanham Act authorizes injunctive relief, as well as damages and disgorgement of a defendant's profits. </w:t>
      </w:r>
      <w:hyperlink r:id="rId158" w:history="1">
        <w:r>
          <w:rPr>
            <w:rFonts w:ascii="Times New Roman" w:hAnsi="Times New Roman" w:cs="Times New Roman"/>
            <w:color w:val="0000FF"/>
            <w:sz w:val="24"/>
            <w:szCs w:val="24"/>
          </w:rPr>
          <w:t>15 U.S.C. § 1117(a)</w:t>
        </w:r>
      </w:hyperlink>
      <w:r>
        <w:rPr>
          <w:rFonts w:ascii="Times New Roman" w:hAnsi="Times New Roman" w:cs="Times New Roman"/>
          <w:color w:val="000000"/>
          <w:sz w:val="24"/>
          <w:szCs w:val="24"/>
        </w:rPr>
        <w:t>.</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The Lanham Act is designed to </w:t>
      </w:r>
      <w:r>
        <w:rPr>
          <w:rFonts w:ascii="Times New Roman" w:hAnsi="Times New Roman" w:cs="Times New Roman"/>
          <w:color w:val="000000"/>
          <w:sz w:val="24"/>
          <w:szCs w:val="24"/>
        </w:rPr>
        <w:t>“</w:t>
      </w:r>
      <w:r>
        <w:rPr>
          <w:rFonts w:ascii="Times New Roman" w:hAnsi="Times New Roman" w:cs="Times New Roman"/>
          <w:color w:val="000000"/>
          <w:sz w:val="24"/>
          <w:szCs w:val="24"/>
        </w:rPr>
        <w:t>protect persons engaged in *** commerce against unfair co</w:t>
      </w:r>
      <w:r>
        <w:rPr>
          <w:rFonts w:ascii="Times New Roman" w:hAnsi="Times New Roman" w:cs="Times New Roman"/>
          <w:color w:val="000000"/>
          <w:sz w:val="24"/>
          <w:szCs w:val="24"/>
        </w:rPr>
        <w:t>m</w:t>
      </w:r>
      <w:r>
        <w:rPr>
          <w:rFonts w:ascii="Times New Roman" w:hAnsi="Times New Roman" w:cs="Times New Roman"/>
          <w:color w:val="000000"/>
          <w:sz w:val="24"/>
          <w:szCs w:val="24"/>
        </w:rPr>
        <w:lastRenderedPageBreak/>
        <w:t xml:space="preserve">petition.' </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hyperlink r:id="rId159" w:history="1">
        <w:r>
          <w:rPr>
            <w:rFonts w:ascii="Times New Roman" w:hAnsi="Times New Roman" w:cs="Times New Roman"/>
            <w:i/>
            <w:iCs/>
            <w:color w:val="0000FF"/>
            <w:sz w:val="24"/>
            <w:szCs w:val="24"/>
          </w:rPr>
          <w:t>Dastar Corp.,</w:t>
        </w:r>
      </w:hyperlink>
      <w:hyperlink r:id="rId160" w:history="1">
        <w:r>
          <w:rPr>
            <w:rFonts w:ascii="Times New Roman" w:hAnsi="Times New Roman" w:cs="Times New Roman"/>
            <w:color w:val="0000FF"/>
            <w:sz w:val="24"/>
            <w:szCs w:val="24"/>
          </w:rPr>
          <w:t xml:space="preserve"> 539 U.S. at 28</w:t>
        </w:r>
      </w:hyperlink>
      <w:r>
        <w:rPr>
          <w:rFonts w:ascii="Times New Roman" w:hAnsi="Times New Roman" w:cs="Times New Roman"/>
          <w:color w:val="000000"/>
          <w:sz w:val="24"/>
          <w:szCs w:val="24"/>
        </w:rPr>
        <w:t xml:space="preserve"> (quoting </w:t>
      </w:r>
      <w:hyperlink r:id="rId161" w:history="1">
        <w:r>
          <w:rPr>
            <w:rFonts w:ascii="Times New Roman" w:hAnsi="Times New Roman" w:cs="Times New Roman"/>
            <w:color w:val="0000FF"/>
            <w:sz w:val="24"/>
            <w:szCs w:val="24"/>
          </w:rPr>
          <w:t>15 U.S.C. § 1127</w:t>
        </w:r>
      </w:hyperlink>
      <w:r>
        <w:rPr>
          <w:rFonts w:ascii="Times New Roman" w:hAnsi="Times New Roman" w:cs="Times New Roman"/>
          <w:color w:val="000000"/>
          <w:sz w:val="24"/>
          <w:szCs w:val="24"/>
        </w:rPr>
        <w:t xml:space="preserve">). Among its </w:t>
      </w:r>
      <w:r>
        <w:rPr>
          <w:rFonts w:ascii="Times New Roman" w:hAnsi="Times New Roman" w:cs="Times New Roman"/>
          <w:color w:val="000000"/>
          <w:sz w:val="24"/>
          <w:szCs w:val="24"/>
        </w:rPr>
        <w:t>“</w:t>
      </w:r>
      <w:r>
        <w:rPr>
          <w:rFonts w:ascii="Times New Roman" w:hAnsi="Times New Roman" w:cs="Times New Roman"/>
          <w:color w:val="000000"/>
          <w:sz w:val="24"/>
          <w:szCs w:val="24"/>
        </w:rPr>
        <w:t>salutary pu</w:t>
      </w:r>
      <w:r>
        <w:rPr>
          <w:rFonts w:ascii="Times New Roman" w:hAnsi="Times New Roman" w:cs="Times New Roman"/>
          <w:color w:val="000000"/>
          <w:sz w:val="24"/>
          <w:szCs w:val="24"/>
        </w:rPr>
        <w:t>r</w:t>
      </w:r>
      <w:r>
        <w:rPr>
          <w:rFonts w:ascii="Times New Roman" w:hAnsi="Times New Roman" w:cs="Times New Roman"/>
          <w:color w:val="000000"/>
          <w:sz w:val="24"/>
          <w:szCs w:val="24"/>
        </w:rPr>
        <w:t>poses</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is </w:t>
      </w:r>
      <w:r>
        <w:rPr>
          <w:rFonts w:ascii="Times New Roman" w:hAnsi="Times New Roman" w:cs="Times New Roman"/>
          <w:color w:val="000000"/>
          <w:sz w:val="24"/>
          <w:szCs w:val="24"/>
        </w:rPr>
        <w:t>“</w:t>
      </w:r>
      <w:r>
        <w:rPr>
          <w:rFonts w:ascii="Times New Roman" w:hAnsi="Times New Roman" w:cs="Times New Roman"/>
          <w:color w:val="000000"/>
          <w:sz w:val="24"/>
          <w:szCs w:val="24"/>
        </w:rPr>
        <w:t>to promote fair competition in the marketplace,</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hyperlink r:id="rId162" w:history="1">
        <w:r>
          <w:rPr>
            <w:rFonts w:ascii="Times New Roman" w:hAnsi="Times New Roman" w:cs="Times New Roman"/>
            <w:i/>
            <w:iCs/>
            <w:color w:val="0000FF"/>
            <w:sz w:val="24"/>
            <w:szCs w:val="24"/>
          </w:rPr>
          <w:t>Zenith Elecs. Corp. v. Exzec, Inc.,</w:t>
        </w:r>
      </w:hyperlink>
      <w:hyperlink r:id="rId163" w:history="1">
        <w:r>
          <w:rPr>
            <w:rFonts w:ascii="Times New Roman" w:hAnsi="Times New Roman" w:cs="Times New Roman"/>
            <w:color w:val="0000FF"/>
            <w:sz w:val="24"/>
            <w:szCs w:val="24"/>
          </w:rPr>
          <w:t xml:space="preserve"> 182 F.3d 1340, 1354 (Fed. Cir. 1999)</w:t>
        </w:r>
      </w:hyperlink>
      <w:r>
        <w:rPr>
          <w:rFonts w:ascii="Times New Roman" w:hAnsi="Times New Roman" w:cs="Times New Roman"/>
          <w:color w:val="000000"/>
          <w:sz w:val="24"/>
          <w:szCs w:val="24"/>
        </w:rPr>
        <w:t xml:space="preserve">, and </w:t>
      </w:r>
      <w:r>
        <w:rPr>
          <w:rFonts w:ascii="Times New Roman" w:hAnsi="Times New Roman" w:cs="Times New Roman"/>
          <w:color w:val="000000"/>
          <w:sz w:val="24"/>
          <w:szCs w:val="24"/>
        </w:rPr>
        <w:t>“</w:t>
      </w:r>
      <w:r>
        <w:rPr>
          <w:rFonts w:ascii="Times New Roman" w:hAnsi="Times New Roman" w:cs="Times New Roman"/>
          <w:color w:val="000000"/>
          <w:sz w:val="24"/>
          <w:szCs w:val="24"/>
        </w:rPr>
        <w:t>to promote fair business dealing.</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hyperlink r:id="rId164" w:history="1">
        <w:r>
          <w:rPr>
            <w:rFonts w:ascii="Times New Roman" w:hAnsi="Times New Roman" w:cs="Times New Roman"/>
            <w:i/>
            <w:iCs/>
            <w:color w:val="0000FF"/>
            <w:sz w:val="24"/>
            <w:szCs w:val="24"/>
          </w:rPr>
          <w:t>Parkway Baking Co. v. Freihofer Baking Co.,</w:t>
        </w:r>
      </w:hyperlink>
      <w:hyperlink r:id="rId165" w:history="1">
        <w:r>
          <w:rPr>
            <w:rFonts w:ascii="Times New Roman" w:hAnsi="Times New Roman" w:cs="Times New Roman"/>
            <w:color w:val="0000FF"/>
            <w:sz w:val="24"/>
            <w:szCs w:val="24"/>
          </w:rPr>
          <w:t xml:space="preserve"> 255 F.2d 641, 649 (3d Cir. 1</w:t>
        </w:r>
        <w:r>
          <w:rPr>
            <w:rFonts w:ascii="Times New Roman" w:hAnsi="Times New Roman" w:cs="Times New Roman"/>
            <w:color w:val="0000FF"/>
            <w:sz w:val="24"/>
            <w:szCs w:val="24"/>
          </w:rPr>
          <w:t>958)</w:t>
        </w:r>
      </w:hyperlink>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*8</w:t>
      </w:r>
      <w:hyperlink r:id="rId166" w:history="1">
        <w:r>
          <w:rPr>
            <w:rFonts w:ascii="Times New Roman" w:hAnsi="Times New Roman" w:cs="Times New Roman"/>
            <w:i/>
            <w:iCs/>
            <w:color w:val="0000FF"/>
            <w:sz w:val="24"/>
            <w:szCs w:val="24"/>
          </w:rPr>
          <w:t>AT &amp; T v.</w:t>
        </w:r>
      </w:hyperlink>
      <w:hyperlink r:id="rId167" w:history="1">
        <w:r>
          <w:rPr>
            <w:rFonts w:ascii="Times New Roman" w:hAnsi="Times New Roman" w:cs="Times New Roman"/>
            <w:color w:val="0000FF"/>
            <w:sz w:val="24"/>
            <w:szCs w:val="24"/>
            <w:u w:val="single"/>
          </w:rPr>
          <w:t> </w:t>
        </w:r>
      </w:hyperlink>
      <w:hyperlink r:id="rId168" w:history="1">
        <w:r>
          <w:rPr>
            <w:rFonts w:ascii="Times New Roman" w:hAnsi="Times New Roman" w:cs="Times New Roman"/>
            <w:i/>
            <w:iCs/>
            <w:color w:val="0000FF"/>
            <w:sz w:val="24"/>
            <w:szCs w:val="24"/>
          </w:rPr>
          <w:t>Winback and Co</w:t>
        </w:r>
        <w:r>
          <w:rPr>
            <w:rFonts w:ascii="Times New Roman" w:hAnsi="Times New Roman" w:cs="Times New Roman"/>
            <w:i/>
            <w:iCs/>
            <w:color w:val="0000FF"/>
            <w:sz w:val="24"/>
            <w:szCs w:val="24"/>
          </w:rPr>
          <w:t>nserve Program, Inc.,</w:t>
        </w:r>
      </w:hyperlink>
      <w:hyperlink r:id="rId169" w:history="1">
        <w:r>
          <w:rPr>
            <w:rFonts w:ascii="Times New Roman" w:hAnsi="Times New Roman" w:cs="Times New Roman"/>
            <w:color w:val="0000FF"/>
            <w:sz w:val="24"/>
            <w:szCs w:val="24"/>
          </w:rPr>
          <w:t xml:space="preserve"> 42 F.3d 1421, 1433-34 (3d Cir. 1994)</w:t>
        </w:r>
      </w:hyperlink>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w:t>
      </w:r>
      <w:r>
        <w:rPr>
          <w:rFonts w:ascii="Times New Roman" w:hAnsi="Times New Roman" w:cs="Times New Roman"/>
          <w:color w:val="000000"/>
          <w:sz w:val="24"/>
          <w:szCs w:val="24"/>
        </w:rPr>
        <w:t>The Lanham Act has the broad pur</w:t>
      </w:r>
      <w:r>
        <w:rPr>
          <w:rFonts w:ascii="Times New Roman" w:hAnsi="Times New Roman" w:cs="Times New Roman"/>
          <w:color w:val="000000"/>
          <w:sz w:val="24"/>
          <w:szCs w:val="24"/>
        </w:rPr>
        <w:t>pose of protecting competitors from a wide variety of misrepresentations of products and service[s]</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hyperlink r:id="rId170" w:history="1">
        <w:r>
          <w:rPr>
            <w:rFonts w:ascii="Times New Roman" w:hAnsi="Times New Roman" w:cs="Times New Roman"/>
            <w:i/>
            <w:iCs/>
            <w:color w:val="0000FF"/>
            <w:sz w:val="24"/>
            <w:szCs w:val="24"/>
          </w:rPr>
          <w:t>Allsup, Inc. v. Advantage 2000 Consultants, Inc.,</w:t>
        </w:r>
      </w:hyperlink>
      <w:hyperlink r:id="rId171" w:history="1">
        <w:r>
          <w:rPr>
            <w:rFonts w:ascii="Times New Roman" w:hAnsi="Times New Roman" w:cs="Times New Roman"/>
            <w:color w:val="0000FF"/>
            <w:sz w:val="24"/>
            <w:szCs w:val="24"/>
          </w:rPr>
          <w:t xml:space="preserve"> 428 F.3d 1135, 1138 (8th Cir. 2005)</w:t>
        </w:r>
      </w:hyperlink>
      <w:r>
        <w:rPr>
          <w:rFonts w:ascii="Times New Roman" w:hAnsi="Times New Roman" w:cs="Times New Roman"/>
          <w:color w:val="000000"/>
          <w:sz w:val="24"/>
          <w:szCs w:val="24"/>
        </w:rPr>
        <w:t xml:space="preserve"> (pu</w:t>
      </w:r>
      <w:r>
        <w:rPr>
          <w:rFonts w:ascii="Times New Roman" w:hAnsi="Times New Roman" w:cs="Times New Roman"/>
          <w:color w:val="000000"/>
          <w:sz w:val="24"/>
          <w:szCs w:val="24"/>
        </w:rPr>
        <w:t xml:space="preserve">rpose of the Act is </w:t>
      </w:r>
      <w:r>
        <w:rPr>
          <w:rFonts w:ascii="Times New Roman" w:hAnsi="Times New Roman" w:cs="Times New Roman"/>
          <w:color w:val="000000"/>
          <w:sz w:val="24"/>
          <w:szCs w:val="24"/>
        </w:rPr>
        <w:t>“</w:t>
      </w:r>
      <w:r>
        <w:rPr>
          <w:rFonts w:ascii="Times New Roman" w:hAnsi="Times New Roman" w:cs="Times New Roman"/>
          <w:color w:val="000000"/>
          <w:sz w:val="24"/>
          <w:szCs w:val="24"/>
        </w:rPr>
        <w:t>to protect persons engaged in commerce against false advertising and unfair compet</w:t>
      </w:r>
      <w:r>
        <w:rPr>
          <w:rFonts w:ascii="Times New Roman" w:hAnsi="Times New Roman" w:cs="Times New Roman"/>
          <w:color w:val="000000"/>
          <w:sz w:val="24"/>
          <w:szCs w:val="24"/>
        </w:rPr>
        <w:t>i</w:t>
      </w:r>
      <w:r>
        <w:rPr>
          <w:rFonts w:ascii="Times New Roman" w:hAnsi="Times New Roman" w:cs="Times New Roman"/>
          <w:color w:val="000000"/>
          <w:sz w:val="24"/>
          <w:szCs w:val="24"/>
        </w:rPr>
        <w:t>tion</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In particular, the purpose of Section 43(a)'s false advertising provisions </w:t>
      </w:r>
      <w:r>
        <w:rPr>
          <w:rFonts w:ascii="Times New Roman" w:hAnsi="Times New Roman" w:cs="Times New Roman"/>
          <w:color w:val="000000"/>
          <w:sz w:val="24"/>
          <w:szCs w:val="24"/>
        </w:rPr>
        <w:t>“</w:t>
      </w:r>
      <w:r>
        <w:rPr>
          <w:rFonts w:ascii="Times New Roman" w:hAnsi="Times New Roman" w:cs="Times New Roman"/>
          <w:color w:val="000000"/>
          <w:sz w:val="24"/>
          <w:szCs w:val="24"/>
        </w:rPr>
        <w:t>is to protect sellers from having their customers lured away from th</w:t>
      </w:r>
      <w:r>
        <w:rPr>
          <w:rFonts w:ascii="Times New Roman" w:hAnsi="Times New Roman" w:cs="Times New Roman"/>
          <w:color w:val="000000"/>
          <w:sz w:val="24"/>
          <w:szCs w:val="24"/>
        </w:rPr>
        <w:t>em by deceptive ads.</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hyperlink r:id="rId172" w:history="1">
        <w:r>
          <w:rPr>
            <w:rFonts w:ascii="Times New Roman" w:hAnsi="Times New Roman" w:cs="Times New Roman"/>
            <w:i/>
            <w:iCs/>
            <w:color w:val="0000FF"/>
            <w:sz w:val="24"/>
            <w:szCs w:val="24"/>
          </w:rPr>
          <w:t>Schering-Plough Healthcare Prods. v. Schwarz Pharma, Inc.,</w:t>
        </w:r>
      </w:hyperlink>
      <w:hyperlink r:id="rId173" w:history="1">
        <w:r>
          <w:rPr>
            <w:rFonts w:ascii="Times New Roman" w:hAnsi="Times New Roman" w:cs="Times New Roman"/>
            <w:color w:val="0000FF"/>
            <w:sz w:val="24"/>
            <w:szCs w:val="24"/>
          </w:rPr>
          <w:t xml:space="preserve"> 586 F.3d 500, 512 (7th Cir. 2009)</w:t>
        </w:r>
      </w:hyperlink>
      <w:r>
        <w:rPr>
          <w:rFonts w:ascii="Times New Roman" w:hAnsi="Times New Roman" w:cs="Times New Roman"/>
          <w:color w:val="000000"/>
          <w:sz w:val="24"/>
          <w:szCs w:val="24"/>
        </w:rPr>
        <w:t>.</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By contrast, the FDCA has the </w:t>
      </w:r>
      <w:r>
        <w:rPr>
          <w:rFonts w:ascii="Times New Roman" w:hAnsi="Times New Roman" w:cs="Times New Roman"/>
          <w:color w:val="000000"/>
          <w:sz w:val="24"/>
          <w:szCs w:val="24"/>
        </w:rPr>
        <w:t>“</w:t>
      </w:r>
      <w:r>
        <w:rPr>
          <w:rFonts w:ascii="Times New Roman" w:hAnsi="Times New Roman" w:cs="Times New Roman"/>
          <w:color w:val="000000"/>
          <w:sz w:val="24"/>
          <w:szCs w:val="24"/>
        </w:rPr>
        <w:t>overriding purpose to protect the public healt</w:t>
      </w:r>
      <w:r>
        <w:rPr>
          <w:rFonts w:ascii="Times New Roman" w:hAnsi="Times New Roman" w:cs="Times New Roman"/>
          <w:color w:val="000000"/>
          <w:sz w:val="24"/>
          <w:szCs w:val="24"/>
        </w:rPr>
        <w:t>h.</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hyperlink r:id="rId174" w:history="1">
        <w:r>
          <w:rPr>
            <w:rFonts w:ascii="Times New Roman" w:hAnsi="Times New Roman" w:cs="Times New Roman"/>
            <w:i/>
            <w:iCs/>
            <w:color w:val="0000FF"/>
            <w:sz w:val="24"/>
            <w:szCs w:val="24"/>
          </w:rPr>
          <w:t>United States v. Bacto-Unidisk,</w:t>
        </w:r>
      </w:hyperlink>
      <w:hyperlink r:id="rId175" w:history="1">
        <w:r>
          <w:rPr>
            <w:rFonts w:ascii="Times New Roman" w:hAnsi="Times New Roman" w:cs="Times New Roman"/>
            <w:color w:val="0000FF"/>
            <w:sz w:val="24"/>
            <w:szCs w:val="24"/>
          </w:rPr>
          <w:t xml:space="preserve"> 394 U.S. 784, 798 (1969)</w:t>
        </w:r>
      </w:hyperlink>
      <w:r>
        <w:rPr>
          <w:rFonts w:ascii="Times New Roman" w:hAnsi="Times New Roman" w:cs="Times New Roman"/>
          <w:color w:val="000000"/>
          <w:sz w:val="24"/>
          <w:szCs w:val="24"/>
        </w:rPr>
        <w:t xml:space="preserve">. The FDCA </w:t>
      </w:r>
      <w:r>
        <w:rPr>
          <w:rFonts w:ascii="Times New Roman" w:hAnsi="Times New Roman" w:cs="Times New Roman"/>
          <w:color w:val="000000"/>
          <w:sz w:val="24"/>
          <w:szCs w:val="24"/>
        </w:rPr>
        <w:t>“</w:t>
      </w:r>
      <w:r>
        <w:rPr>
          <w:rFonts w:ascii="Times New Roman" w:hAnsi="Times New Roman" w:cs="Times New Roman"/>
          <w:color w:val="000000"/>
          <w:sz w:val="24"/>
          <w:szCs w:val="24"/>
        </w:rPr>
        <w:t>safeguard[s] the consumer by applying the [FDCA] to articles</w:t>
      </w:r>
      <w:r>
        <w:rPr>
          <w:rFonts w:ascii="Times New Roman" w:hAnsi="Times New Roman" w:cs="Times New Roman"/>
          <w:color w:val="000000"/>
          <w:sz w:val="24"/>
          <w:szCs w:val="24"/>
        </w:rPr>
        <w:t xml:space="preserve"> from the moment of their introduction into interstate commerce all the way to the moment of their delivery to the ultimate consumer.</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hyperlink r:id="rId176" w:history="1">
        <w:r>
          <w:rPr>
            <w:rFonts w:ascii="Times New Roman" w:hAnsi="Times New Roman" w:cs="Times New Roman"/>
            <w:i/>
            <w:iCs/>
            <w:color w:val="0000FF"/>
            <w:sz w:val="24"/>
            <w:szCs w:val="24"/>
          </w:rPr>
          <w:t>United States v. Sullivan,</w:t>
        </w:r>
      </w:hyperlink>
      <w:hyperlink r:id="rId177" w:history="1">
        <w:r>
          <w:rPr>
            <w:rFonts w:ascii="Times New Roman" w:hAnsi="Times New Roman" w:cs="Times New Roman"/>
            <w:color w:val="0000FF"/>
            <w:sz w:val="24"/>
            <w:szCs w:val="24"/>
          </w:rPr>
          <w:t xml:space="preserve"> 332 U.S. 689, 696 (1948)</w:t>
        </w:r>
      </w:hyperlink>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see al</w:t>
      </w:r>
      <w:r>
        <w:rPr>
          <w:rFonts w:ascii="Times New Roman" w:hAnsi="Times New Roman" w:cs="Times New Roman"/>
          <w:i/>
          <w:iCs/>
          <w:color w:val="000000"/>
          <w:sz w:val="24"/>
          <w:szCs w:val="24"/>
        </w:rPr>
        <w:t xml:space="preserve">so </w:t>
      </w:r>
      <w:hyperlink r:id="rId178" w:history="1">
        <w:r>
          <w:rPr>
            <w:rFonts w:ascii="Times New Roman" w:hAnsi="Times New Roman" w:cs="Times New Roman"/>
            <w:i/>
            <w:iCs/>
            <w:color w:val="0000FF"/>
            <w:sz w:val="24"/>
            <w:szCs w:val="24"/>
          </w:rPr>
          <w:t>United States v. Articles of Drug Consisting of Following: 5,906 Boxes,</w:t>
        </w:r>
      </w:hyperlink>
      <w:hyperlink r:id="rId179" w:history="1">
        <w:r>
          <w:rPr>
            <w:rFonts w:ascii="Times New Roman" w:hAnsi="Times New Roman" w:cs="Times New Roman"/>
            <w:color w:val="0000FF"/>
            <w:sz w:val="24"/>
            <w:szCs w:val="24"/>
          </w:rPr>
          <w:t xml:space="preserve"> 745 F.2d 105, 113 (1st Cir. 1984)</w:t>
        </w:r>
      </w:hyperlink>
      <w:r>
        <w:rPr>
          <w:rFonts w:ascii="Times New Roman" w:hAnsi="Times New Roman" w:cs="Times New Roman"/>
          <w:color w:val="000000"/>
          <w:sz w:val="24"/>
          <w:szCs w:val="24"/>
        </w:rPr>
        <w:t xml:space="preserve"> (describing FDCA as a </w:t>
      </w:r>
      <w:r>
        <w:rPr>
          <w:rFonts w:ascii="Times New Roman" w:hAnsi="Times New Roman" w:cs="Times New Roman"/>
          <w:color w:val="000000"/>
          <w:sz w:val="24"/>
          <w:szCs w:val="24"/>
        </w:rPr>
        <w:t>“</w:t>
      </w:r>
      <w:r>
        <w:rPr>
          <w:rFonts w:ascii="Times New Roman" w:hAnsi="Times New Roman" w:cs="Times New Roman"/>
          <w:color w:val="000000"/>
          <w:sz w:val="24"/>
          <w:szCs w:val="24"/>
        </w:rPr>
        <w:t>comprehensive regulatory statute concerned with public safety</w:t>
      </w:r>
      <w:r>
        <w:rPr>
          <w:rFonts w:ascii="Times New Roman" w:hAnsi="Times New Roman" w:cs="Times New Roman"/>
          <w:color w:val="000000"/>
          <w:sz w:val="24"/>
          <w:szCs w:val="24"/>
        </w:rPr>
        <w:t>”</w:t>
      </w:r>
      <w:r>
        <w:rPr>
          <w:rFonts w:ascii="Times New Roman" w:hAnsi="Times New Roman" w:cs="Times New Roman"/>
          <w:color w:val="000000"/>
          <w:sz w:val="24"/>
          <w:szCs w:val="24"/>
        </w:rPr>
        <w:t>).</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Congress first regulated food and beverage labeling in the Federal Food and Drugs Act of 1906, Ch. 3915, 34 Stat. 768. It later enacted the FDCA, Ch. 675, 522 Stat. 1040, </w:t>
      </w:r>
      <w:hyperlink r:id="rId180" w:history="1">
        <w:r>
          <w:rPr>
            <w:rFonts w:ascii="Times New Roman" w:hAnsi="Times New Roman" w:cs="Times New Roman"/>
            <w:color w:val="0000FF"/>
            <w:sz w:val="24"/>
            <w:szCs w:val="24"/>
          </w:rPr>
          <w:t xml:space="preserve">21 U.S.C. § 301 </w:t>
        </w:r>
      </w:hyperlink>
      <w:hyperlink r:id="rId181" w:history="1">
        <w:r>
          <w:rPr>
            <w:rFonts w:ascii="Times New Roman" w:hAnsi="Times New Roman" w:cs="Times New Roman"/>
            <w:i/>
            <w:iCs/>
            <w:color w:val="0000FF"/>
            <w:sz w:val="24"/>
            <w:szCs w:val="24"/>
          </w:rPr>
          <w:t>et seq.</w:t>
        </w:r>
      </w:hyperlink>
      <w:hyperlink r:id="rId182" w:history="1">
        <w:r>
          <w:rPr>
            <w:rFonts w:ascii="Times New Roman" w:hAnsi="Times New Roman" w:cs="Times New Roman"/>
            <w:color w:val="0000FF"/>
            <w:sz w:val="24"/>
            <w:szCs w:val="24"/>
          </w:rPr>
          <w:t>,</w:t>
        </w:r>
      </w:hyperlink>
      <w:r>
        <w:rPr>
          <w:rFonts w:ascii="Times New Roman" w:hAnsi="Times New Roman" w:cs="Times New Roman"/>
          <w:color w:val="000000"/>
          <w:sz w:val="24"/>
          <w:szCs w:val="24"/>
        </w:rPr>
        <w:t xml:space="preserve"> and has amended the act numerous times. Relevant here, in 1990 Congress amended the FDCA to address nutrition labeling for nearly all food products for human consumption, including juices. Nutrition </w:t>
      </w:r>
      <w:r>
        <w:rPr>
          <w:rFonts w:ascii="Times New Roman" w:hAnsi="Times New Roman" w:cs="Times New Roman"/>
          <w:b/>
          <w:bCs/>
          <w:color w:val="000000"/>
          <w:sz w:val="24"/>
          <w:szCs w:val="24"/>
        </w:rPr>
        <w:t>*9</w:t>
      </w:r>
      <w:r>
        <w:rPr>
          <w:rFonts w:ascii="Times New Roman" w:hAnsi="Times New Roman" w:cs="Times New Roman"/>
          <w:color w:val="000000"/>
          <w:sz w:val="24"/>
          <w:szCs w:val="24"/>
        </w:rPr>
        <w:t xml:space="preserve"> Labeling and Education Act of 199</w:t>
      </w:r>
      <w:r>
        <w:rPr>
          <w:rFonts w:ascii="Times New Roman" w:hAnsi="Times New Roman" w:cs="Times New Roman"/>
          <w:color w:val="000000"/>
          <w:sz w:val="24"/>
          <w:szCs w:val="24"/>
        </w:rPr>
        <w:t>0 (</w:t>
      </w:r>
      <w:r>
        <w:rPr>
          <w:rFonts w:ascii="Times New Roman" w:hAnsi="Times New Roman" w:cs="Times New Roman"/>
          <w:color w:val="000000"/>
          <w:sz w:val="24"/>
          <w:szCs w:val="24"/>
        </w:rPr>
        <w:t>“</w:t>
      </w:r>
      <w:r>
        <w:rPr>
          <w:rFonts w:ascii="Times New Roman" w:hAnsi="Times New Roman" w:cs="Times New Roman"/>
          <w:color w:val="000000"/>
          <w:sz w:val="24"/>
          <w:szCs w:val="24"/>
        </w:rPr>
        <w:t>NLEA</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hyperlink r:id="rId183" w:history="1">
        <w:r>
          <w:rPr>
            <w:rFonts w:ascii="Times New Roman" w:hAnsi="Times New Roman" w:cs="Times New Roman"/>
            <w:color w:val="0000FF"/>
            <w:sz w:val="24"/>
            <w:szCs w:val="24"/>
          </w:rPr>
          <w:t>Pub. L. No. 101-535, 104 Stat. 2353.</w:t>
        </w:r>
      </w:hyperlink>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While Section 43(a) of the Lanham Act bans false and misleading advertising, the FDCA bans the introduction into or receipt in commerce of </w:t>
      </w:r>
      <w:r>
        <w:rPr>
          <w:rFonts w:ascii="Times New Roman" w:hAnsi="Times New Roman" w:cs="Times New Roman"/>
          <w:color w:val="000000"/>
          <w:sz w:val="24"/>
          <w:szCs w:val="24"/>
        </w:rPr>
        <w:t>“</w:t>
      </w:r>
      <w:r>
        <w:rPr>
          <w:rFonts w:ascii="Times New Roman" w:hAnsi="Times New Roman" w:cs="Times New Roman"/>
          <w:color w:val="000000"/>
          <w:sz w:val="24"/>
          <w:szCs w:val="24"/>
        </w:rPr>
        <w:t>misbranded</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foods. </w:t>
      </w:r>
      <w:hyperlink r:id="rId184" w:history="1">
        <w:r>
          <w:rPr>
            <w:rFonts w:ascii="Times New Roman" w:hAnsi="Times New Roman" w:cs="Times New Roman"/>
            <w:color w:val="0000FF"/>
            <w:sz w:val="24"/>
            <w:szCs w:val="24"/>
          </w:rPr>
          <w:t>21 U.S.C. § 331(a)</w:t>
        </w:r>
      </w:hyperlink>
      <w:r>
        <w:rPr>
          <w:rFonts w:ascii="Times New Roman" w:hAnsi="Times New Roman" w:cs="Times New Roman"/>
          <w:color w:val="000000"/>
          <w:sz w:val="24"/>
          <w:szCs w:val="24"/>
        </w:rPr>
        <w:t xml:space="preserve">, </w:t>
      </w:r>
      <w:hyperlink r:id="rId185" w:history="1">
        <w:r>
          <w:rPr>
            <w:rFonts w:ascii="Times New Roman" w:hAnsi="Times New Roman" w:cs="Times New Roman"/>
            <w:color w:val="0000FF"/>
            <w:sz w:val="24"/>
            <w:szCs w:val="24"/>
          </w:rPr>
          <w:t>(c)</w:t>
        </w:r>
      </w:hyperlink>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w:t>
      </w:r>
      <w:r>
        <w:rPr>
          <w:rFonts w:ascii="Times New Roman" w:hAnsi="Times New Roman" w:cs="Times New Roman"/>
          <w:color w:val="000000"/>
          <w:sz w:val="24"/>
          <w:szCs w:val="24"/>
        </w:rPr>
        <w:t>Food</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includes any </w:t>
      </w:r>
      <w:r>
        <w:rPr>
          <w:rFonts w:ascii="Times New Roman" w:hAnsi="Times New Roman" w:cs="Times New Roman"/>
          <w:color w:val="000000"/>
          <w:sz w:val="24"/>
          <w:szCs w:val="24"/>
        </w:rPr>
        <w:t>“</w:t>
      </w:r>
      <w:r>
        <w:rPr>
          <w:rFonts w:ascii="Times New Roman" w:hAnsi="Times New Roman" w:cs="Times New Roman"/>
          <w:color w:val="000000"/>
          <w:sz w:val="24"/>
          <w:szCs w:val="24"/>
        </w:rPr>
        <w:t>article [ ] used for *** drink.</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hyperlink r:id="rId186" w:history="1">
        <w:r>
          <w:rPr>
            <w:rFonts w:ascii="Times New Roman" w:hAnsi="Times New Roman" w:cs="Times New Roman"/>
            <w:color w:val="0000FF"/>
            <w:sz w:val="24"/>
            <w:szCs w:val="24"/>
          </w:rPr>
          <w:t>21 U.S.C. § 321(f)</w:t>
        </w:r>
      </w:hyperlink>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In regulating food and beverage labeling, the FDCA provides that food is </w:t>
      </w:r>
      <w:r>
        <w:rPr>
          <w:rFonts w:ascii="Times New Roman" w:hAnsi="Times New Roman" w:cs="Times New Roman"/>
          <w:color w:val="000000"/>
          <w:sz w:val="24"/>
          <w:szCs w:val="24"/>
        </w:rPr>
        <w:t>“</w:t>
      </w:r>
      <w:r>
        <w:rPr>
          <w:rFonts w:ascii="Times New Roman" w:hAnsi="Times New Roman" w:cs="Times New Roman"/>
          <w:color w:val="000000"/>
          <w:sz w:val="24"/>
          <w:szCs w:val="24"/>
        </w:rPr>
        <w:t>deemed to be misbranded</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in several ways. </w:t>
      </w:r>
      <w:hyperlink r:id="rId187" w:history="1">
        <w:r>
          <w:rPr>
            <w:rFonts w:ascii="Times New Roman" w:hAnsi="Times New Roman" w:cs="Times New Roman"/>
            <w:color w:val="0000FF"/>
            <w:sz w:val="24"/>
            <w:szCs w:val="24"/>
          </w:rPr>
          <w:t>21 U.S.C. § 343</w:t>
        </w:r>
      </w:hyperlink>
      <w:r>
        <w:rPr>
          <w:rFonts w:ascii="Times New Roman" w:hAnsi="Times New Roman" w:cs="Times New Roman"/>
          <w:color w:val="000000"/>
          <w:sz w:val="24"/>
          <w:szCs w:val="24"/>
        </w:rPr>
        <w:t>. Food is misb</w:t>
      </w:r>
      <w:r>
        <w:rPr>
          <w:rFonts w:ascii="Times New Roman" w:hAnsi="Times New Roman" w:cs="Times New Roman"/>
          <w:color w:val="000000"/>
          <w:sz w:val="24"/>
          <w:szCs w:val="24"/>
        </w:rPr>
        <w:t xml:space="preserve">randed if </w:t>
      </w:r>
      <w:r>
        <w:rPr>
          <w:rFonts w:ascii="Times New Roman" w:hAnsi="Times New Roman" w:cs="Times New Roman"/>
          <w:color w:val="000000"/>
          <w:sz w:val="24"/>
          <w:szCs w:val="24"/>
        </w:rPr>
        <w:t>“</w:t>
      </w:r>
      <w:r>
        <w:rPr>
          <w:rFonts w:ascii="Times New Roman" w:hAnsi="Times New Roman" w:cs="Times New Roman"/>
          <w:color w:val="000000"/>
          <w:sz w:val="24"/>
          <w:szCs w:val="24"/>
        </w:rPr>
        <w:t>its labeling is false or misleading in any particular,</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if required i</w:t>
      </w:r>
      <w:r>
        <w:rPr>
          <w:rFonts w:ascii="Times New Roman" w:hAnsi="Times New Roman" w:cs="Times New Roman"/>
          <w:color w:val="000000"/>
          <w:sz w:val="24"/>
          <w:szCs w:val="24"/>
        </w:rPr>
        <w:t>n</w:t>
      </w:r>
      <w:r>
        <w:rPr>
          <w:rFonts w:ascii="Times New Roman" w:hAnsi="Times New Roman" w:cs="Times New Roman"/>
          <w:color w:val="000000"/>
          <w:sz w:val="24"/>
          <w:szCs w:val="24"/>
        </w:rPr>
        <w:t xml:space="preserve">formation is not sufficiently prominent and conspicuous on the labeling, or if its label fails to bear </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the common or usual name of the food, if any there be, and *** in case </w:t>
      </w:r>
      <w:r>
        <w:rPr>
          <w:rFonts w:ascii="Times New Roman" w:hAnsi="Times New Roman" w:cs="Times New Roman"/>
          <w:color w:val="000000"/>
          <w:sz w:val="24"/>
          <w:szCs w:val="24"/>
        </w:rPr>
        <w:t>it is fabricated from two or more ingredients, the common or usual name of each ingredient.</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hyperlink r:id="rId188" w:history="1">
        <w:r>
          <w:rPr>
            <w:rFonts w:ascii="Times New Roman" w:hAnsi="Times New Roman" w:cs="Times New Roman"/>
            <w:color w:val="0000FF"/>
            <w:sz w:val="24"/>
            <w:szCs w:val="24"/>
          </w:rPr>
          <w:t>21 U.S.C. § 343(a)</w:t>
        </w:r>
      </w:hyperlink>
      <w:r>
        <w:rPr>
          <w:rFonts w:ascii="Times New Roman" w:hAnsi="Times New Roman" w:cs="Times New Roman"/>
          <w:color w:val="000000"/>
          <w:sz w:val="24"/>
          <w:szCs w:val="24"/>
        </w:rPr>
        <w:t xml:space="preserve">, </w:t>
      </w:r>
      <w:hyperlink r:id="rId189" w:history="1">
        <w:r>
          <w:rPr>
            <w:rFonts w:ascii="Times New Roman" w:hAnsi="Times New Roman" w:cs="Times New Roman"/>
            <w:color w:val="0000FF"/>
            <w:sz w:val="24"/>
            <w:szCs w:val="24"/>
          </w:rPr>
          <w:t>(f)</w:t>
        </w:r>
      </w:hyperlink>
      <w:r>
        <w:rPr>
          <w:rFonts w:ascii="Times New Roman" w:hAnsi="Times New Roman" w:cs="Times New Roman"/>
          <w:color w:val="000000"/>
          <w:sz w:val="24"/>
          <w:szCs w:val="24"/>
        </w:rPr>
        <w:t xml:space="preserve">, </w:t>
      </w:r>
      <w:hyperlink r:id="rId190" w:history="1">
        <w:r>
          <w:rPr>
            <w:rFonts w:ascii="Times New Roman" w:hAnsi="Times New Roman" w:cs="Times New Roman"/>
            <w:color w:val="0000FF"/>
            <w:sz w:val="24"/>
            <w:szCs w:val="24"/>
          </w:rPr>
          <w:t>(i)</w:t>
        </w:r>
      </w:hyperlink>
      <w:r>
        <w:rPr>
          <w:rFonts w:ascii="Times New Roman" w:hAnsi="Times New Roman" w:cs="Times New Roman"/>
          <w:color w:val="000000"/>
          <w:sz w:val="24"/>
          <w:szCs w:val="24"/>
        </w:rPr>
        <w:t xml:space="preserve">. The FDA has implemented numerous regulations of the naming and labeling of juices </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to promote honesty and fair dealing in the interest </w:t>
      </w:r>
      <w:r>
        <w:rPr>
          <w:rFonts w:ascii="Times New Roman" w:hAnsi="Times New Roman" w:cs="Times New Roman"/>
          <w:color w:val="000000"/>
          <w:sz w:val="24"/>
          <w:szCs w:val="24"/>
        </w:rPr>
        <w:t>of consumers.</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hyperlink r:id="rId191" w:history="1">
        <w:r>
          <w:rPr>
            <w:rFonts w:ascii="Times New Roman" w:hAnsi="Times New Roman" w:cs="Times New Roman"/>
            <w:color w:val="0000FF"/>
            <w:sz w:val="24"/>
            <w:szCs w:val="24"/>
          </w:rPr>
          <w:t>21 U.S.C. § 341</w:t>
        </w:r>
      </w:hyperlink>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See</w:t>
      </w:r>
      <w:r>
        <w:rPr>
          <w:rFonts w:ascii="Times New Roman" w:hAnsi="Times New Roman" w:cs="Times New Roman"/>
          <w:color w:val="000000"/>
          <w:sz w:val="24"/>
          <w:szCs w:val="24"/>
        </w:rPr>
        <w:t xml:space="preserve"> </w:t>
      </w:r>
      <w:hyperlink r:id="rId192" w:history="1">
        <w:r>
          <w:rPr>
            <w:rFonts w:ascii="Times New Roman" w:hAnsi="Times New Roman" w:cs="Times New Roman"/>
            <w:color w:val="0000FF"/>
            <w:sz w:val="24"/>
            <w:szCs w:val="24"/>
          </w:rPr>
          <w:t xml:space="preserve">58 Fed. Reg. </w:t>
        </w:r>
        <w:r>
          <w:rPr>
            <w:rFonts w:ascii="Times New Roman" w:hAnsi="Times New Roman" w:cs="Times New Roman"/>
            <w:color w:val="0000FF"/>
            <w:sz w:val="24"/>
            <w:szCs w:val="24"/>
          </w:rPr>
          <w:lastRenderedPageBreak/>
          <w:t>2898-2926 (Jan. 6, 1993)</w:t>
        </w:r>
      </w:hyperlink>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see generally</w:t>
      </w:r>
      <w:r>
        <w:rPr>
          <w:rFonts w:ascii="Times New Roman" w:hAnsi="Times New Roman" w:cs="Times New Roman"/>
          <w:color w:val="000000"/>
          <w:sz w:val="24"/>
          <w:szCs w:val="24"/>
        </w:rPr>
        <w:t xml:space="preserve"> 21 C.F.R. pts. 101, 102. The particular provision at issue</w:t>
      </w:r>
      <w:r>
        <w:rPr>
          <w:rFonts w:ascii="Times New Roman" w:hAnsi="Times New Roman" w:cs="Times New Roman"/>
          <w:color w:val="000000"/>
          <w:sz w:val="24"/>
          <w:szCs w:val="24"/>
        </w:rPr>
        <w:t xml:space="preserve"> in this case addresses the naming and labeling of multi-juice beverages. </w:t>
      </w:r>
      <w:hyperlink r:id="rId193" w:history="1">
        <w:r>
          <w:rPr>
            <w:rFonts w:ascii="Times New Roman" w:hAnsi="Times New Roman" w:cs="Times New Roman"/>
            <w:color w:val="0000FF"/>
            <w:sz w:val="24"/>
            <w:szCs w:val="24"/>
          </w:rPr>
          <w:t>21 C.F.R. § 102.33</w:t>
        </w:r>
      </w:hyperlink>
      <w:r>
        <w:rPr>
          <w:rFonts w:ascii="Times New Roman" w:hAnsi="Times New Roman" w:cs="Times New Roman"/>
          <w:color w:val="000000"/>
          <w:sz w:val="24"/>
          <w:szCs w:val="24"/>
        </w:rPr>
        <w:t>.</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The FDCA and FDA regulations address the </w:t>
      </w:r>
      <w:r>
        <w:rPr>
          <w:rFonts w:ascii="Times New Roman" w:hAnsi="Times New Roman" w:cs="Times New Roman"/>
          <w:color w:val="000000"/>
          <w:sz w:val="24"/>
          <w:szCs w:val="24"/>
        </w:rPr>
        <w:t>“</w:t>
      </w:r>
      <w:r>
        <w:rPr>
          <w:rFonts w:ascii="Times New Roman" w:hAnsi="Times New Roman" w:cs="Times New Roman"/>
          <w:color w:val="000000"/>
          <w:sz w:val="24"/>
          <w:szCs w:val="24"/>
        </w:rPr>
        <w:t>misbra</w:t>
      </w:r>
      <w:r>
        <w:rPr>
          <w:rFonts w:ascii="Times New Roman" w:hAnsi="Times New Roman" w:cs="Times New Roman"/>
          <w:color w:val="000000"/>
          <w:sz w:val="24"/>
          <w:szCs w:val="24"/>
        </w:rPr>
        <w:t>nding</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of juice labels, which has an obvious overlap with the false and misleading advertising forbidden by Section 43(a). Importantly, ho</w:t>
      </w:r>
      <w:r>
        <w:rPr>
          <w:rFonts w:ascii="Times New Roman" w:hAnsi="Times New Roman" w:cs="Times New Roman"/>
          <w:color w:val="000000"/>
          <w:sz w:val="24"/>
          <w:szCs w:val="24"/>
        </w:rPr>
        <w:t>w</w:t>
      </w:r>
      <w:r>
        <w:rPr>
          <w:rFonts w:ascii="Times New Roman" w:hAnsi="Times New Roman" w:cs="Times New Roman"/>
          <w:color w:val="000000"/>
          <w:sz w:val="24"/>
          <w:szCs w:val="24"/>
        </w:rPr>
        <w:t xml:space="preserve">ever, the FDCA and FDA regulations do not allow a private party to sue to remedy harms from misbranding. </w:t>
      </w:r>
      <w:r>
        <w:rPr>
          <w:rFonts w:ascii="Times New Roman" w:hAnsi="Times New Roman" w:cs="Times New Roman"/>
          <w:i/>
          <w:iCs/>
          <w:color w:val="000000"/>
          <w:sz w:val="24"/>
          <w:szCs w:val="24"/>
        </w:rPr>
        <w:t>See</w:t>
      </w:r>
      <w:r>
        <w:rPr>
          <w:rFonts w:ascii="Times New Roman" w:hAnsi="Times New Roman" w:cs="Times New Roman"/>
          <w:color w:val="000000"/>
          <w:sz w:val="24"/>
          <w:szCs w:val="24"/>
        </w:rPr>
        <w:t xml:space="preserve"> </w:t>
      </w:r>
      <w:hyperlink r:id="rId194" w:history="1">
        <w:r>
          <w:rPr>
            <w:rFonts w:ascii="Times New Roman" w:hAnsi="Times New Roman" w:cs="Times New Roman"/>
            <w:color w:val="0000FF"/>
            <w:sz w:val="24"/>
            <w:szCs w:val="24"/>
          </w:rPr>
          <w:t>21 U.S.C. § 337(a)</w:t>
        </w:r>
      </w:hyperlink>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w:t>
      </w:r>
      <w:r>
        <w:rPr>
          <w:rFonts w:ascii="Times New Roman" w:hAnsi="Times New Roman" w:cs="Times New Roman"/>
          <w:color w:val="000000"/>
          <w:sz w:val="24"/>
          <w:szCs w:val="24"/>
        </w:rPr>
        <w:t>[A]ll such proceedings for the enforcement, or to restrain violations [of</w:t>
      </w:r>
      <w:r>
        <w:rPr>
          <w:rFonts w:ascii="Times New Roman" w:hAnsi="Times New Roman" w:cs="Times New Roman"/>
          <w:color w:val="000000"/>
          <w:sz w:val="24"/>
          <w:szCs w:val="24"/>
        </w:rPr>
        <w:t xml:space="preserve"> the FDCA] shall be by and in the name </w:t>
      </w:r>
      <w:r>
        <w:rPr>
          <w:rFonts w:ascii="Times New Roman" w:hAnsi="Times New Roman" w:cs="Times New Roman"/>
          <w:b/>
          <w:bCs/>
          <w:color w:val="000000"/>
          <w:sz w:val="24"/>
          <w:szCs w:val="24"/>
        </w:rPr>
        <w:t>*10</w:t>
      </w:r>
      <w:r>
        <w:rPr>
          <w:rFonts w:ascii="Times New Roman" w:hAnsi="Times New Roman" w:cs="Times New Roman"/>
          <w:color w:val="000000"/>
          <w:sz w:val="24"/>
          <w:szCs w:val="24"/>
        </w:rPr>
        <w:t xml:space="preserve"> of the United States.</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 xml:space="preserve">cf </w:t>
      </w:r>
      <w:hyperlink r:id="rId195" w:history="1">
        <w:r>
          <w:rPr>
            <w:rFonts w:ascii="Times New Roman" w:hAnsi="Times New Roman" w:cs="Times New Roman"/>
            <w:i/>
            <w:iCs/>
            <w:color w:val="0000FF"/>
            <w:sz w:val="24"/>
            <w:szCs w:val="24"/>
          </w:rPr>
          <w:t>Buckman Co. v. Plaintiffs' Le</w:t>
        </w:r>
        <w:r>
          <w:rPr>
            <w:rFonts w:ascii="Times New Roman" w:hAnsi="Times New Roman" w:cs="Times New Roman"/>
            <w:i/>
            <w:iCs/>
            <w:color w:val="0000FF"/>
            <w:sz w:val="24"/>
            <w:szCs w:val="24"/>
          </w:rPr>
          <w:t>gal Comm.,</w:t>
        </w:r>
      </w:hyperlink>
      <w:hyperlink r:id="rId196" w:history="1">
        <w:r>
          <w:rPr>
            <w:rFonts w:ascii="Times New Roman" w:hAnsi="Times New Roman" w:cs="Times New Roman"/>
            <w:color w:val="0000FF"/>
            <w:sz w:val="24"/>
            <w:szCs w:val="24"/>
          </w:rPr>
          <w:t xml:space="preserve"> 531 U.S. 341, 349 n.4 (2001)</w:t>
        </w:r>
      </w:hyperlink>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w:t>
      </w:r>
      <w:r>
        <w:rPr>
          <w:rFonts w:ascii="Times New Roman" w:hAnsi="Times New Roman" w:cs="Times New Roman"/>
          <w:color w:val="000000"/>
          <w:sz w:val="24"/>
          <w:szCs w:val="24"/>
        </w:rPr>
        <w:t>The FDCA leaves no doubt that it is the Federal Gove</w:t>
      </w:r>
      <w:r>
        <w:rPr>
          <w:rFonts w:ascii="Times New Roman" w:hAnsi="Times New Roman" w:cs="Times New Roman"/>
          <w:color w:val="000000"/>
          <w:sz w:val="24"/>
          <w:szCs w:val="24"/>
        </w:rPr>
        <w:t>rnment rather than private litigants who are authorized to file suit for noncompl</w:t>
      </w:r>
      <w:r>
        <w:rPr>
          <w:rFonts w:ascii="Times New Roman" w:hAnsi="Times New Roman" w:cs="Times New Roman"/>
          <w:color w:val="000000"/>
          <w:sz w:val="24"/>
          <w:szCs w:val="24"/>
        </w:rPr>
        <w:t>i</w:t>
      </w:r>
      <w:r>
        <w:rPr>
          <w:rFonts w:ascii="Times New Roman" w:hAnsi="Times New Roman" w:cs="Times New Roman"/>
          <w:color w:val="000000"/>
          <w:sz w:val="24"/>
          <w:szCs w:val="24"/>
        </w:rPr>
        <w:t>ance.</w:t>
      </w:r>
      <w:r>
        <w:rPr>
          <w:rFonts w:ascii="Times New Roman" w:hAnsi="Times New Roman" w:cs="Times New Roman"/>
          <w:color w:val="000000"/>
          <w:sz w:val="24"/>
          <w:szCs w:val="24"/>
        </w:rPr>
        <w:t>”</w:t>
      </w:r>
      <w:r>
        <w:rPr>
          <w:rFonts w:ascii="Times New Roman" w:hAnsi="Times New Roman" w:cs="Times New Roman"/>
          <w:color w:val="000000"/>
          <w:sz w:val="24"/>
          <w:szCs w:val="24"/>
        </w:rPr>
        <w:t>). By contrast, a Lanham Act plaintiff who establishes that a defendant has falsely advertised or promoted its food product may be entitled to recover, in addition to b</w:t>
      </w:r>
      <w:r>
        <w:rPr>
          <w:rFonts w:ascii="Times New Roman" w:hAnsi="Times New Roman" w:cs="Times New Roman"/>
          <w:color w:val="000000"/>
          <w:sz w:val="24"/>
          <w:szCs w:val="24"/>
        </w:rPr>
        <w:t xml:space="preserve">road injunctive relief, monetary relief in the form of damages and the disgorgement of the defendant's profits. </w:t>
      </w:r>
      <w:hyperlink r:id="rId197" w:history="1">
        <w:r>
          <w:rPr>
            <w:rFonts w:ascii="Times New Roman" w:hAnsi="Times New Roman" w:cs="Times New Roman"/>
            <w:color w:val="0000FF"/>
            <w:sz w:val="24"/>
            <w:szCs w:val="24"/>
          </w:rPr>
          <w:t>15 U.S.C. § 1117(a)</w:t>
        </w:r>
      </w:hyperlink>
      <w:r>
        <w:rPr>
          <w:rFonts w:ascii="Times New Roman" w:hAnsi="Times New Roman" w:cs="Times New Roman"/>
          <w:color w:val="000000"/>
          <w:sz w:val="24"/>
          <w:szCs w:val="24"/>
        </w:rPr>
        <w:t>.</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The FDCA permits a competitor to petition the FDA to undertake rulemaking to revise its labeling regulations for juice mixtures, </w:t>
      </w:r>
      <w:hyperlink r:id="rId198" w:history="1">
        <w:r>
          <w:rPr>
            <w:rFonts w:ascii="Times New Roman" w:hAnsi="Times New Roman" w:cs="Times New Roman"/>
            <w:color w:val="0000FF"/>
            <w:sz w:val="24"/>
            <w:szCs w:val="24"/>
          </w:rPr>
          <w:t>21 U.S.C. § 371(e)(1)(b)</w:t>
        </w:r>
      </w:hyperlink>
      <w:r>
        <w:rPr>
          <w:rFonts w:ascii="Times New Roman" w:hAnsi="Times New Roman" w:cs="Times New Roman"/>
          <w:color w:val="000000"/>
          <w:sz w:val="24"/>
          <w:szCs w:val="24"/>
        </w:rPr>
        <w:t xml:space="preserve">, but such a rule would not redress the injuries to a Lanham Act plaintiff's business interests. A citizen's petition could only be used to </w:t>
      </w:r>
      <w:r>
        <w:rPr>
          <w:rFonts w:ascii="Times New Roman" w:hAnsi="Times New Roman" w:cs="Times New Roman"/>
          <w:color w:val="000000"/>
          <w:sz w:val="24"/>
          <w:szCs w:val="24"/>
        </w:rPr>
        <w:t xml:space="preserve">ask the FDA to </w:t>
      </w:r>
      <w:r>
        <w:rPr>
          <w:rFonts w:ascii="Times New Roman" w:hAnsi="Times New Roman" w:cs="Times New Roman"/>
          <w:color w:val="000000"/>
          <w:sz w:val="24"/>
          <w:szCs w:val="24"/>
        </w:rPr>
        <w:t>“</w:t>
      </w:r>
      <w:r>
        <w:rPr>
          <w:rFonts w:ascii="Times New Roman" w:hAnsi="Times New Roman" w:cs="Times New Roman"/>
          <w:color w:val="000000"/>
          <w:sz w:val="24"/>
          <w:szCs w:val="24"/>
        </w:rPr>
        <w:t>[p]ublish a proposal to issue, amend, or revoke *** a regulation,</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hyperlink r:id="rId199" w:history="1">
        <w:r>
          <w:rPr>
            <w:rFonts w:ascii="Times New Roman" w:hAnsi="Times New Roman" w:cs="Times New Roman"/>
            <w:color w:val="0000FF"/>
            <w:sz w:val="24"/>
            <w:szCs w:val="24"/>
          </w:rPr>
          <w:t>21 C</w:t>
        </w:r>
        <w:r>
          <w:rPr>
            <w:rFonts w:ascii="Times New Roman" w:hAnsi="Times New Roman" w:cs="Times New Roman"/>
            <w:color w:val="0000FF"/>
            <w:sz w:val="24"/>
            <w:szCs w:val="24"/>
          </w:rPr>
          <w:t>.F.R. § 102.19(a)</w:t>
        </w:r>
      </w:hyperlink>
      <w:r>
        <w:rPr>
          <w:rFonts w:ascii="Times New Roman" w:hAnsi="Times New Roman" w:cs="Times New Roman"/>
          <w:color w:val="000000"/>
          <w:sz w:val="24"/>
          <w:szCs w:val="24"/>
        </w:rPr>
        <w:t xml:space="preserve">, not to stop a particular instance of false advertising. At best, the result of the petition might be a sledgehammer when a laser is called for. </w:t>
      </w:r>
      <w:r>
        <w:rPr>
          <w:rFonts w:ascii="Times New Roman" w:hAnsi="Times New Roman" w:cs="Times New Roman"/>
          <w:i/>
          <w:iCs/>
          <w:color w:val="000000"/>
          <w:sz w:val="24"/>
          <w:szCs w:val="24"/>
        </w:rPr>
        <w:t>See also</w:t>
      </w:r>
      <w:r>
        <w:rPr>
          <w:rFonts w:ascii="Times New Roman" w:hAnsi="Times New Roman" w:cs="Times New Roman"/>
          <w:color w:val="000000"/>
          <w:sz w:val="24"/>
          <w:szCs w:val="24"/>
        </w:rPr>
        <w:t xml:space="preserve"> U.S. Amicus Br. 15. While the FDA can seek to enjoin a defendant promoting its fo</w:t>
      </w:r>
      <w:r>
        <w:rPr>
          <w:rFonts w:ascii="Times New Roman" w:hAnsi="Times New Roman" w:cs="Times New Roman"/>
          <w:color w:val="000000"/>
          <w:sz w:val="24"/>
          <w:szCs w:val="24"/>
        </w:rPr>
        <w:t>od product with a label that is false or misleading, the agency does not have authority to seek civil monetary penalties for such conduct.</w:t>
      </w:r>
      <w:r>
        <w:rPr>
          <w:rFonts w:ascii="Times New Roman" w:hAnsi="Times New Roman" w:cs="Times New Roman"/>
          <w:color w:val="000000"/>
          <w:sz w:val="20"/>
          <w:szCs w:val="20"/>
          <w:vertAlign w:val="superscript"/>
        </w:rPr>
        <w:t>[FN5]</w:t>
      </w:r>
      <w:r>
        <w:rPr>
          <w:rFonts w:ascii="Times New Roman" w:hAnsi="Times New Roman" w:cs="Times New Roman"/>
          <w:color w:val="000000"/>
          <w:sz w:val="24"/>
          <w:szCs w:val="24"/>
        </w:rPr>
        <w:t xml:space="preserve"> Nor can the FDA compensate a </w:t>
      </w:r>
      <w:r>
        <w:rPr>
          <w:rFonts w:ascii="Times New Roman" w:hAnsi="Times New Roman" w:cs="Times New Roman"/>
          <w:b/>
          <w:bCs/>
          <w:color w:val="000000"/>
          <w:sz w:val="24"/>
          <w:szCs w:val="24"/>
        </w:rPr>
        <w:t>*11</w:t>
      </w:r>
      <w:r>
        <w:rPr>
          <w:rFonts w:ascii="Times New Roman" w:hAnsi="Times New Roman" w:cs="Times New Roman"/>
          <w:color w:val="000000"/>
          <w:sz w:val="24"/>
          <w:szCs w:val="24"/>
        </w:rPr>
        <w:t xml:space="preserve"> business for lost sales or goodwill resulting from false food advertising or fo</w:t>
      </w:r>
      <w:r>
        <w:rPr>
          <w:rFonts w:ascii="Times New Roman" w:hAnsi="Times New Roman" w:cs="Times New Roman"/>
          <w:color w:val="000000"/>
          <w:sz w:val="24"/>
          <w:szCs w:val="24"/>
        </w:rPr>
        <w:t xml:space="preserve">r the costs a business incurs responding to false advertising. </w:t>
      </w:r>
      <w:r>
        <w:rPr>
          <w:rFonts w:ascii="Times New Roman" w:hAnsi="Times New Roman" w:cs="Times New Roman"/>
          <w:color w:val="000000"/>
          <w:sz w:val="24"/>
          <w:szCs w:val="24"/>
        </w:rPr>
        <w:t>“</w:t>
      </w:r>
      <w:r>
        <w:rPr>
          <w:rFonts w:ascii="Times New Roman" w:hAnsi="Times New Roman" w:cs="Times New Roman"/>
          <w:color w:val="000000"/>
          <w:sz w:val="24"/>
          <w:szCs w:val="24"/>
        </w:rPr>
        <w:t>An injunction can halt a wrongful activity but it will not correct its effects.</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hyperlink r:id="rId200" w:history="1">
        <w:r>
          <w:rPr>
            <w:rFonts w:ascii="Times New Roman" w:hAnsi="Times New Roman" w:cs="Times New Roman"/>
            <w:i/>
            <w:iCs/>
            <w:color w:val="0000FF"/>
            <w:sz w:val="24"/>
            <w:szCs w:val="24"/>
          </w:rPr>
          <w:t>Balance Dynamics Corp. v. Schmitt Indus.,</w:t>
        </w:r>
      </w:hyperlink>
      <w:hyperlink r:id="rId201" w:history="1">
        <w:r>
          <w:rPr>
            <w:rFonts w:ascii="Times New Roman" w:hAnsi="Times New Roman" w:cs="Times New Roman"/>
            <w:color w:val="0000FF"/>
            <w:sz w:val="24"/>
            <w:szCs w:val="24"/>
          </w:rPr>
          <w:t xml:space="preserve"> 204 F.3d 6</w:t>
        </w:r>
        <w:r>
          <w:rPr>
            <w:rFonts w:ascii="Times New Roman" w:hAnsi="Times New Roman" w:cs="Times New Roman"/>
            <w:color w:val="0000FF"/>
            <w:sz w:val="24"/>
            <w:szCs w:val="24"/>
          </w:rPr>
          <w:t>83, 698 (6th Cir. 2000)</w:t>
        </w:r>
      </w:hyperlink>
      <w:r>
        <w:rPr>
          <w:rFonts w:ascii="Times New Roman" w:hAnsi="Times New Roman" w:cs="Times New Roman"/>
          <w:color w:val="000000"/>
          <w:sz w:val="24"/>
          <w:szCs w:val="24"/>
        </w:rPr>
        <w:t>.</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ind w:left="72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FN5. Congress has authorized the FDA to seek civil monetary penalties for violations of certain specific provisions of the FDCA, but has chosen not to do so with respect to food labeling provisions. </w:t>
      </w:r>
      <w:r>
        <w:rPr>
          <w:rFonts w:ascii="Times New Roman" w:hAnsi="Times New Roman" w:cs="Times New Roman"/>
          <w:i/>
          <w:iCs/>
          <w:color w:val="000000"/>
          <w:sz w:val="24"/>
          <w:szCs w:val="24"/>
        </w:rPr>
        <w:t>See, e.g.</w:t>
      </w:r>
      <w:r>
        <w:rPr>
          <w:rFonts w:ascii="Times New Roman" w:hAnsi="Times New Roman" w:cs="Times New Roman"/>
          <w:color w:val="000000"/>
          <w:sz w:val="24"/>
          <w:szCs w:val="24"/>
        </w:rPr>
        <w:t xml:space="preserve">, </w:t>
      </w:r>
      <w:hyperlink r:id="rId202" w:history="1">
        <w:r>
          <w:rPr>
            <w:rFonts w:ascii="Times New Roman" w:hAnsi="Times New Roman" w:cs="Times New Roman"/>
            <w:color w:val="0000FF"/>
            <w:sz w:val="24"/>
            <w:szCs w:val="24"/>
          </w:rPr>
          <w:t>21 U.S.C. § 333(b)(2)</w:t>
        </w:r>
      </w:hyperlink>
      <w:r>
        <w:rPr>
          <w:rFonts w:ascii="Times New Roman" w:hAnsi="Times New Roman" w:cs="Times New Roman"/>
          <w:color w:val="000000"/>
          <w:sz w:val="24"/>
          <w:szCs w:val="24"/>
        </w:rPr>
        <w:t xml:space="preserve"> (drug marketing violations); </w:t>
      </w:r>
      <w:hyperlink r:id="rId203" w:history="1">
        <w:r>
          <w:rPr>
            <w:rFonts w:ascii="Times New Roman" w:hAnsi="Times New Roman" w:cs="Times New Roman"/>
            <w:color w:val="0000FF"/>
            <w:sz w:val="24"/>
            <w:szCs w:val="24"/>
          </w:rPr>
          <w:t>§ 333(f)(9)</w:t>
        </w:r>
      </w:hyperlink>
      <w:r>
        <w:rPr>
          <w:rFonts w:ascii="Times New Roman" w:hAnsi="Times New Roman" w:cs="Times New Roman"/>
          <w:color w:val="000000"/>
          <w:sz w:val="24"/>
          <w:szCs w:val="24"/>
        </w:rPr>
        <w:t xml:space="preserve"> (tobacco product violations); </w:t>
      </w:r>
      <w:hyperlink r:id="rId204" w:history="1">
        <w:r>
          <w:rPr>
            <w:rFonts w:ascii="Times New Roman" w:hAnsi="Times New Roman" w:cs="Times New Roman"/>
            <w:color w:val="0000FF"/>
            <w:sz w:val="24"/>
            <w:szCs w:val="24"/>
          </w:rPr>
          <w:t>21 C.F.R. §17.1</w:t>
        </w:r>
      </w:hyperlink>
      <w:r>
        <w:rPr>
          <w:rFonts w:ascii="Times New Roman" w:hAnsi="Times New Roman" w:cs="Times New Roman"/>
          <w:color w:val="000000"/>
          <w:sz w:val="24"/>
          <w:szCs w:val="24"/>
        </w:rPr>
        <w:t xml:space="preserve"> (listing </w:t>
      </w:r>
      <w:r>
        <w:rPr>
          <w:rFonts w:ascii="Times New Roman" w:hAnsi="Times New Roman" w:cs="Times New Roman"/>
          <w:color w:val="000000"/>
          <w:sz w:val="24"/>
          <w:szCs w:val="24"/>
        </w:rPr>
        <w:t>“</w:t>
      </w:r>
      <w:r>
        <w:rPr>
          <w:rFonts w:ascii="Times New Roman" w:hAnsi="Times New Roman" w:cs="Times New Roman"/>
          <w:color w:val="000000"/>
          <w:sz w:val="24"/>
          <w:szCs w:val="24"/>
        </w:rPr>
        <w:t>the statutory provisions that authorize civil money penalties</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but see</w:t>
      </w:r>
      <w:r>
        <w:rPr>
          <w:rFonts w:ascii="Times New Roman" w:hAnsi="Times New Roman" w:cs="Times New Roman"/>
          <w:color w:val="000000"/>
          <w:sz w:val="24"/>
          <w:szCs w:val="24"/>
        </w:rPr>
        <w:t xml:space="preserve"> </w:t>
      </w:r>
      <w:hyperlink r:id="rId205" w:history="1">
        <w:r>
          <w:rPr>
            <w:rFonts w:ascii="Times New Roman" w:hAnsi="Times New Roman" w:cs="Times New Roman"/>
            <w:color w:val="0000FF"/>
            <w:sz w:val="24"/>
            <w:szCs w:val="24"/>
          </w:rPr>
          <w:t>21 U.S.C. § 343</w:t>
        </w:r>
      </w:hyperlink>
      <w:r>
        <w:rPr>
          <w:rFonts w:ascii="Times New Roman" w:hAnsi="Times New Roman" w:cs="Times New Roman"/>
          <w:color w:val="000000"/>
          <w:sz w:val="24"/>
          <w:szCs w:val="24"/>
        </w:rPr>
        <w:t xml:space="preserve"> (food labeling, with no provision for civil monetary penalties).</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Thus, Section 43(a) of the Lanham Act and the FDCA's and FDA's </w:t>
      </w:r>
      <w:r>
        <w:rPr>
          <w:rFonts w:ascii="Times New Roman" w:hAnsi="Times New Roman" w:cs="Times New Roman"/>
          <w:color w:val="000000"/>
          <w:sz w:val="24"/>
          <w:szCs w:val="24"/>
        </w:rPr>
        <w:t>“</w:t>
      </w:r>
      <w:r>
        <w:rPr>
          <w:rFonts w:ascii="Times New Roman" w:hAnsi="Times New Roman" w:cs="Times New Roman"/>
          <w:color w:val="000000"/>
          <w:sz w:val="24"/>
          <w:szCs w:val="24"/>
        </w:rPr>
        <w:t>misbranding</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scheme serve </w:t>
      </w:r>
      <w:r>
        <w:rPr>
          <w:rFonts w:ascii="Times New Roman" w:hAnsi="Times New Roman" w:cs="Times New Roman"/>
          <w:color w:val="000000"/>
          <w:sz w:val="24"/>
          <w:szCs w:val="24"/>
        </w:rPr>
        <w:lastRenderedPageBreak/>
        <w:t>different purposes.</w:t>
      </w:r>
      <w:r>
        <w:rPr>
          <w:rFonts w:ascii="Times New Roman" w:hAnsi="Times New Roman" w:cs="Times New Roman"/>
          <w:color w:val="000000"/>
          <w:sz w:val="24"/>
          <w:szCs w:val="24"/>
        </w:rPr>
        <w:t xml:space="preserve"> The Lanham Act promotes a fair marketplace, and protects businesses by e</w:t>
      </w:r>
      <w:r>
        <w:rPr>
          <w:rFonts w:ascii="Times New Roman" w:hAnsi="Times New Roman" w:cs="Times New Roman"/>
          <w:color w:val="000000"/>
          <w:sz w:val="24"/>
          <w:szCs w:val="24"/>
        </w:rPr>
        <w:t>n</w:t>
      </w:r>
      <w:r>
        <w:rPr>
          <w:rFonts w:ascii="Times New Roman" w:hAnsi="Times New Roman" w:cs="Times New Roman"/>
          <w:color w:val="000000"/>
          <w:sz w:val="24"/>
          <w:szCs w:val="24"/>
        </w:rPr>
        <w:t>abling them to sue for false and misleading advertising to stop and redress those harms. The FDCA is a public safety statute, concerned with ensuring that food, drugs and cosmetics a</w:t>
      </w:r>
      <w:r>
        <w:rPr>
          <w:rFonts w:ascii="Times New Roman" w:hAnsi="Times New Roman" w:cs="Times New Roman"/>
          <w:color w:val="000000"/>
          <w:sz w:val="24"/>
          <w:szCs w:val="24"/>
        </w:rPr>
        <w:t>re safe and that their labels do not misrepresent the nature of the products; it is not concerned with whether false and misleading advertising harms the manufacturer's or producers' business interests. Rather than providing private remedies, Congress rese</w:t>
      </w:r>
      <w:r>
        <w:rPr>
          <w:rFonts w:ascii="Times New Roman" w:hAnsi="Times New Roman" w:cs="Times New Roman"/>
          <w:color w:val="000000"/>
          <w:sz w:val="24"/>
          <w:szCs w:val="24"/>
        </w:rPr>
        <w:t>rved enforcement for the FDA, leaving private parties to petition the FDA and seek broad regulatory changes through the agency's rulemaking.</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Courts have also recognized the divergence of purposes between the Lanham Act and the FDCA's drug labeling provisi</w:t>
      </w:r>
      <w:r>
        <w:rPr>
          <w:rFonts w:ascii="Times New Roman" w:hAnsi="Times New Roman" w:cs="Times New Roman"/>
          <w:color w:val="000000"/>
          <w:sz w:val="24"/>
          <w:szCs w:val="24"/>
        </w:rPr>
        <w:t xml:space="preserve">ons. The FDCA </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w:t>
      </w:r>
      <w:r>
        <w:rPr>
          <w:rFonts w:ascii="Times New Roman" w:hAnsi="Times New Roman" w:cs="Times New Roman"/>
          <w:color w:val="000000"/>
          <w:sz w:val="24"/>
          <w:szCs w:val="24"/>
        </w:rPr>
        <w:t>is not focused on the truth or falsity of advertising claims,</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but is *** directed to protecting the public by ensuring that drugs sold in the marketplace are </w:t>
      </w:r>
      <w:r>
        <w:rPr>
          <w:rFonts w:ascii="Times New Roman" w:hAnsi="Times New Roman" w:cs="Times New Roman"/>
          <w:color w:val="000000"/>
          <w:sz w:val="24"/>
          <w:szCs w:val="24"/>
        </w:rPr>
        <w:t>‘</w:t>
      </w:r>
      <w:r>
        <w:rPr>
          <w:rFonts w:ascii="Times New Roman" w:hAnsi="Times New Roman" w:cs="Times New Roman"/>
          <w:color w:val="000000"/>
          <w:sz w:val="24"/>
          <w:szCs w:val="24"/>
        </w:rPr>
        <w:t>safe, effective and not misbranded,</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a task vested in the FDA to implement and </w:t>
      </w:r>
      <w:r>
        <w:rPr>
          <w:rFonts w:ascii="Times New Roman" w:hAnsi="Times New Roman" w:cs="Times New Roman"/>
          <w:color w:val="000000"/>
          <w:sz w:val="24"/>
          <w:szCs w:val="24"/>
        </w:rPr>
        <w:t>enforce.</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 xml:space="preserve">Mut. Pharm. v. </w:t>
      </w:r>
      <w:hyperlink r:id="rId206" w:history="1">
        <w:r>
          <w:rPr>
            <w:rFonts w:ascii="Times New Roman" w:hAnsi="Times New Roman" w:cs="Times New Roman"/>
            <w:i/>
            <w:iCs/>
            <w:color w:val="0000FF"/>
            <w:sz w:val="24"/>
            <w:szCs w:val="24"/>
          </w:rPr>
          <w:t>Ivax Pharm., Inc.,</w:t>
        </w:r>
      </w:hyperlink>
      <w:hyperlink r:id="rId207" w:history="1">
        <w:r>
          <w:rPr>
            <w:rFonts w:ascii="Times New Roman" w:hAnsi="Times New Roman" w:cs="Times New Roman"/>
            <w:color w:val="0000FF"/>
            <w:sz w:val="24"/>
            <w:szCs w:val="24"/>
          </w:rPr>
          <w:t xml:space="preserve"> 459 F. Supp. 2d 925, 933 (CD. Cal. 2006)</w:t>
        </w:r>
      </w:hyperlink>
      <w:r>
        <w:rPr>
          <w:rFonts w:ascii="Times New Roman" w:hAnsi="Times New Roman" w:cs="Times New Roman"/>
          <w:color w:val="000000"/>
          <w:sz w:val="24"/>
          <w:szCs w:val="24"/>
        </w:rPr>
        <w:t xml:space="preserve"> (quoting </w:t>
      </w:r>
      <w:hyperlink r:id="rId208" w:history="1">
        <w:r>
          <w:rPr>
            <w:rFonts w:ascii="Times New Roman" w:hAnsi="Times New Roman" w:cs="Times New Roman"/>
            <w:i/>
            <w:iCs/>
            <w:color w:val="0000FF"/>
            <w:sz w:val="24"/>
            <w:szCs w:val="24"/>
          </w:rPr>
          <w:t>Sandoz Pharm. v. Ric</w:t>
        </w:r>
        <w:r>
          <w:rPr>
            <w:rFonts w:ascii="Times New Roman" w:hAnsi="Times New Roman" w:cs="Times New Roman"/>
            <w:i/>
            <w:iCs/>
            <w:color w:val="0000FF"/>
            <w:sz w:val="24"/>
            <w:szCs w:val="24"/>
          </w:rPr>
          <w:t>h</w:t>
        </w:r>
        <w:r>
          <w:rPr>
            <w:rFonts w:ascii="Times New Roman" w:hAnsi="Times New Roman" w:cs="Times New Roman"/>
            <w:i/>
            <w:iCs/>
            <w:color w:val="0000FF"/>
            <w:sz w:val="24"/>
            <w:szCs w:val="24"/>
          </w:rPr>
          <w:t>ardson-Vicks, Inc.,</w:t>
        </w:r>
      </w:hyperlink>
      <w:hyperlink r:id="rId209" w:history="1">
        <w:r>
          <w:rPr>
            <w:rFonts w:ascii="Times New Roman" w:hAnsi="Times New Roman" w:cs="Times New Roman"/>
            <w:color w:val="0000FF"/>
            <w:sz w:val="24"/>
            <w:szCs w:val="24"/>
          </w:rPr>
          <w:t xml:space="preserve"> </w:t>
        </w:r>
        <w:r>
          <w:rPr>
            <w:rFonts w:ascii="Times New Roman" w:hAnsi="Times New Roman" w:cs="Times New Roman"/>
            <w:color w:val="0000FF"/>
            <w:sz w:val="24"/>
            <w:szCs w:val="24"/>
          </w:rPr>
          <w:t>902 F.2d 222, 230 (3d Cir. 1990)</w:t>
        </w:r>
      </w:hyperlink>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[T]he main purpose of the advertising restrictions set forth in the FDCA and its accompanying regulations is not to </w:t>
      </w:r>
      <w:r>
        <w:rPr>
          <w:rFonts w:ascii="Times New Roman" w:hAnsi="Times New Roman" w:cs="Times New Roman"/>
          <w:b/>
          <w:bCs/>
          <w:color w:val="000000"/>
          <w:sz w:val="24"/>
          <w:szCs w:val="24"/>
        </w:rPr>
        <w:t>*12</w:t>
      </w:r>
      <w:r>
        <w:rPr>
          <w:rFonts w:ascii="Times New Roman" w:hAnsi="Times New Roman" w:cs="Times New Roman"/>
          <w:color w:val="000000"/>
          <w:sz w:val="24"/>
          <w:szCs w:val="24"/>
        </w:rPr>
        <w:t xml:space="preserve"> protect co</w:t>
      </w:r>
      <w:r>
        <w:rPr>
          <w:rFonts w:ascii="Times New Roman" w:hAnsi="Times New Roman" w:cs="Times New Roman"/>
          <w:color w:val="000000"/>
          <w:sz w:val="24"/>
          <w:szCs w:val="24"/>
        </w:rPr>
        <w:t>n</w:t>
      </w:r>
      <w:r>
        <w:rPr>
          <w:rFonts w:ascii="Times New Roman" w:hAnsi="Times New Roman" w:cs="Times New Roman"/>
          <w:color w:val="000000"/>
          <w:sz w:val="24"/>
          <w:szCs w:val="24"/>
        </w:rPr>
        <w:t>sumers from deceptive advertising, but rather to further the FDCA's underlying goal of</w:t>
      </w:r>
      <w:r>
        <w:rPr>
          <w:rFonts w:ascii="Times New Roman" w:hAnsi="Times New Roman" w:cs="Times New Roman"/>
          <w:color w:val="000000"/>
          <w:sz w:val="24"/>
          <w:szCs w:val="24"/>
        </w:rPr>
        <w:t xml:space="preserve"> ensuring the safety of prescription drugs.</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hyperlink r:id="rId210" w:history="1">
        <w:r>
          <w:rPr>
            <w:rFonts w:ascii="Times New Roman" w:hAnsi="Times New Roman" w:cs="Times New Roman"/>
            <w:i/>
            <w:iCs/>
            <w:color w:val="0000FF"/>
            <w:sz w:val="24"/>
            <w:szCs w:val="24"/>
          </w:rPr>
          <w:t>In re Epogen &amp; Aranesp Off-Label Mktg. &amp; Sales Practic</w:t>
        </w:r>
        <w:r>
          <w:rPr>
            <w:rFonts w:ascii="Times New Roman" w:hAnsi="Times New Roman" w:cs="Times New Roman"/>
            <w:i/>
            <w:iCs/>
            <w:color w:val="0000FF"/>
            <w:sz w:val="24"/>
            <w:szCs w:val="24"/>
          </w:rPr>
          <w:t>es Litig.,</w:t>
        </w:r>
      </w:hyperlink>
      <w:hyperlink r:id="rId211" w:history="1">
        <w:r>
          <w:rPr>
            <w:rFonts w:ascii="Times New Roman" w:hAnsi="Times New Roman" w:cs="Times New Roman"/>
            <w:color w:val="0000FF"/>
            <w:sz w:val="24"/>
            <w:szCs w:val="24"/>
          </w:rPr>
          <w:t xml:space="preserve"> 590 F. Supp. 2d 1282, 1290 (CD. Cal. 2008)</w:t>
        </w:r>
      </w:hyperlink>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 xml:space="preserve">see also </w:t>
      </w:r>
      <w:hyperlink r:id="rId212" w:history="1">
        <w:r>
          <w:rPr>
            <w:rFonts w:ascii="Times New Roman" w:hAnsi="Times New Roman" w:cs="Times New Roman"/>
            <w:i/>
            <w:iCs/>
            <w:color w:val="0000FF"/>
            <w:sz w:val="24"/>
            <w:szCs w:val="24"/>
          </w:rPr>
          <w:t>Iams Co. v. Nutro Prods., Inc.,</w:t>
        </w:r>
      </w:hyperlink>
      <w:hyperlink r:id="rId213" w:history="1">
        <w:r>
          <w:rPr>
            <w:rFonts w:ascii="Times New Roman" w:hAnsi="Times New Roman" w:cs="Times New Roman"/>
            <w:color w:val="0000FF"/>
            <w:sz w:val="24"/>
            <w:szCs w:val="24"/>
          </w:rPr>
          <w:t xml:space="preserve"> No. C-3-00-566, 2004 WL 578000</w:t>
        </w:r>
        <w:r>
          <w:rPr>
            <w:rFonts w:ascii="Times New Roman" w:hAnsi="Times New Roman" w:cs="Times New Roman"/>
            <w:color w:val="0000FF"/>
            <w:sz w:val="24"/>
            <w:szCs w:val="24"/>
          </w:rPr>
          <w:t>0, at *2 (S.D. Ohio July 19, 2004)</w:t>
        </w:r>
      </w:hyperlink>
      <w:r>
        <w:rPr>
          <w:rFonts w:ascii="Times New Roman" w:hAnsi="Times New Roman" w:cs="Times New Roman"/>
          <w:color w:val="000000"/>
          <w:sz w:val="24"/>
          <w:szCs w:val="24"/>
        </w:rPr>
        <w:t xml:space="preserve"> (stating that FDCA </w:t>
      </w:r>
      <w:r>
        <w:rPr>
          <w:rFonts w:ascii="Times New Roman" w:hAnsi="Times New Roman" w:cs="Times New Roman"/>
          <w:color w:val="000000"/>
          <w:sz w:val="24"/>
          <w:szCs w:val="24"/>
        </w:rPr>
        <w:t>“</w:t>
      </w:r>
      <w:r>
        <w:rPr>
          <w:rFonts w:ascii="Times New Roman" w:hAnsi="Times New Roman" w:cs="Times New Roman"/>
          <w:color w:val="000000"/>
          <w:sz w:val="24"/>
          <w:szCs w:val="24"/>
        </w:rPr>
        <w:t>is not f</w:t>
      </w:r>
      <w:r>
        <w:rPr>
          <w:rFonts w:ascii="Times New Roman" w:hAnsi="Times New Roman" w:cs="Times New Roman"/>
          <w:color w:val="000000"/>
          <w:sz w:val="24"/>
          <w:szCs w:val="24"/>
        </w:rPr>
        <w:t>o</w:t>
      </w:r>
      <w:r>
        <w:rPr>
          <w:rFonts w:ascii="Times New Roman" w:hAnsi="Times New Roman" w:cs="Times New Roman"/>
          <w:color w:val="000000"/>
          <w:sz w:val="24"/>
          <w:szCs w:val="24"/>
        </w:rPr>
        <w:t>cused on the truth or falsity of advertising claims</w:t>
      </w:r>
      <w:r>
        <w:rPr>
          <w:rFonts w:ascii="Times New Roman" w:hAnsi="Times New Roman" w:cs="Times New Roman"/>
          <w:color w:val="000000"/>
          <w:sz w:val="24"/>
          <w:szCs w:val="24"/>
        </w:rPr>
        <w:t>”</w:t>
      </w:r>
      <w:r>
        <w:rPr>
          <w:rFonts w:ascii="Times New Roman" w:hAnsi="Times New Roman" w:cs="Times New Roman"/>
          <w:color w:val="000000"/>
          <w:sz w:val="24"/>
          <w:szCs w:val="24"/>
        </w:rPr>
        <w:t>).</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The statutes are capable of coexisting and Congress has never indicated that they should not c</w:t>
      </w:r>
      <w:r>
        <w:rPr>
          <w:rFonts w:ascii="Times New Roman" w:hAnsi="Times New Roman" w:cs="Times New Roman"/>
          <w:color w:val="000000"/>
          <w:sz w:val="24"/>
          <w:szCs w:val="24"/>
        </w:rPr>
        <w:t>o</w:t>
      </w:r>
      <w:r>
        <w:rPr>
          <w:rFonts w:ascii="Times New Roman" w:hAnsi="Times New Roman" w:cs="Times New Roman"/>
          <w:color w:val="000000"/>
          <w:sz w:val="24"/>
          <w:szCs w:val="24"/>
        </w:rPr>
        <w:t>exist. Indeed, Congress created the La</w:t>
      </w:r>
      <w:r>
        <w:rPr>
          <w:rFonts w:ascii="Times New Roman" w:hAnsi="Times New Roman" w:cs="Times New Roman"/>
          <w:color w:val="000000"/>
          <w:sz w:val="24"/>
          <w:szCs w:val="24"/>
        </w:rPr>
        <w:t xml:space="preserve">nham Act's private right of action after authorizing the FDA to regulate the misbranding of food products. </w:t>
      </w:r>
      <w:hyperlink r:id="rId214" w:history="1">
        <w:r>
          <w:rPr>
            <w:rFonts w:ascii="Times New Roman" w:hAnsi="Times New Roman" w:cs="Times New Roman"/>
            <w:color w:val="0000FF"/>
            <w:sz w:val="24"/>
            <w:szCs w:val="24"/>
          </w:rPr>
          <w:t>21 U.S.C. §§ 331</w:t>
        </w:r>
      </w:hyperlink>
      <w:r>
        <w:rPr>
          <w:rFonts w:ascii="Times New Roman" w:hAnsi="Times New Roman" w:cs="Times New Roman"/>
          <w:color w:val="000000"/>
          <w:sz w:val="24"/>
          <w:szCs w:val="24"/>
        </w:rPr>
        <w:t>-</w:t>
      </w:r>
      <w:hyperlink r:id="rId215" w:history="1">
        <w:r>
          <w:rPr>
            <w:rFonts w:ascii="Times New Roman" w:hAnsi="Times New Roman" w:cs="Times New Roman"/>
            <w:color w:val="0000FF"/>
            <w:sz w:val="24"/>
            <w:szCs w:val="24"/>
          </w:rPr>
          <w:t>334</w:t>
        </w:r>
      </w:hyperlink>
      <w:r>
        <w:rPr>
          <w:rFonts w:ascii="Times New Roman" w:hAnsi="Times New Roman" w:cs="Times New Roman"/>
          <w:color w:val="000000"/>
          <w:sz w:val="24"/>
          <w:szCs w:val="24"/>
        </w:rPr>
        <w:t xml:space="preserve">, </w:t>
      </w:r>
      <w:hyperlink r:id="rId216" w:history="1">
        <w:r>
          <w:rPr>
            <w:rFonts w:ascii="Times New Roman" w:hAnsi="Times New Roman" w:cs="Times New Roman"/>
            <w:color w:val="0000FF"/>
            <w:sz w:val="24"/>
            <w:szCs w:val="24"/>
          </w:rPr>
          <w:t>343</w:t>
        </w:r>
      </w:hyperlink>
      <w:r>
        <w:rPr>
          <w:rFonts w:ascii="Times New Roman" w:hAnsi="Times New Roman" w:cs="Times New Roman"/>
          <w:color w:val="000000"/>
          <w:sz w:val="24"/>
          <w:szCs w:val="24"/>
        </w:rPr>
        <w:t xml:space="preserve">, </w:t>
      </w:r>
      <w:hyperlink r:id="rId217" w:history="1">
        <w:r>
          <w:rPr>
            <w:rFonts w:ascii="Times New Roman" w:hAnsi="Times New Roman" w:cs="Times New Roman"/>
            <w:color w:val="0000FF"/>
            <w:sz w:val="24"/>
            <w:szCs w:val="24"/>
          </w:rPr>
          <w:t>371 (Supp. IV 1938)</w:t>
        </w:r>
      </w:hyperlink>
      <w:r>
        <w:rPr>
          <w:rFonts w:ascii="Times New Roman" w:hAnsi="Times New Roman" w:cs="Times New Roman"/>
          <w:color w:val="000000"/>
          <w:sz w:val="24"/>
          <w:szCs w:val="24"/>
        </w:rPr>
        <w:t xml:space="preserve">; </w:t>
      </w:r>
      <w:hyperlink r:id="rId218" w:history="1">
        <w:r>
          <w:rPr>
            <w:rFonts w:ascii="Times New Roman" w:hAnsi="Times New Roman" w:cs="Times New Roman"/>
            <w:color w:val="0000FF"/>
            <w:sz w:val="24"/>
            <w:szCs w:val="24"/>
          </w:rPr>
          <w:t>15 U.S.C. § 1125 (1946)</w:t>
        </w:r>
      </w:hyperlink>
      <w:r>
        <w:rPr>
          <w:rFonts w:ascii="Times New Roman" w:hAnsi="Times New Roman" w:cs="Times New Roman"/>
          <w:color w:val="000000"/>
          <w:sz w:val="24"/>
          <w:szCs w:val="24"/>
        </w:rPr>
        <w:t>. Congress has amended both laws o</w:t>
      </w:r>
      <w:r>
        <w:rPr>
          <w:rFonts w:ascii="Times New Roman" w:hAnsi="Times New Roman" w:cs="Times New Roman"/>
          <w:color w:val="000000"/>
          <w:sz w:val="24"/>
          <w:szCs w:val="24"/>
        </w:rPr>
        <w:t xml:space="preserve">n multiple occasions without attempting to eliminate any overlap between the statutes. Had Congress intended to eliminate Lanham Act suits related to misbranding, it knew how to do so. </w:t>
      </w:r>
      <w:r>
        <w:rPr>
          <w:rFonts w:ascii="Times New Roman" w:hAnsi="Times New Roman" w:cs="Times New Roman"/>
          <w:i/>
          <w:iCs/>
          <w:color w:val="000000"/>
          <w:sz w:val="24"/>
          <w:szCs w:val="24"/>
        </w:rPr>
        <w:t xml:space="preserve">Cf. </w:t>
      </w:r>
      <w:hyperlink r:id="rId219" w:history="1">
        <w:r>
          <w:rPr>
            <w:rFonts w:ascii="Times New Roman" w:hAnsi="Times New Roman" w:cs="Times New Roman"/>
            <w:i/>
            <w:iCs/>
            <w:color w:val="0000FF"/>
            <w:sz w:val="24"/>
            <w:szCs w:val="24"/>
          </w:rPr>
          <w:t>Wyeth v. Levine,</w:t>
        </w:r>
      </w:hyperlink>
      <w:hyperlink r:id="rId220" w:history="1">
        <w:r>
          <w:rPr>
            <w:rFonts w:ascii="Times New Roman" w:hAnsi="Times New Roman" w:cs="Times New Roman"/>
            <w:color w:val="0000FF"/>
            <w:sz w:val="24"/>
            <w:szCs w:val="24"/>
          </w:rPr>
          <w:t xml:space="preserve"> 555 U.S. 555, 574 (2009)</w:t>
        </w:r>
      </w:hyperlink>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w:t>
      </w:r>
      <w:r>
        <w:rPr>
          <w:rFonts w:ascii="Times New Roman" w:hAnsi="Times New Roman" w:cs="Times New Roman"/>
          <w:color w:val="000000"/>
          <w:sz w:val="24"/>
          <w:szCs w:val="24"/>
        </w:rPr>
        <w:t>If Congress thought state-law suits posed an obstacle to its objectives, it surely would have e</w:t>
      </w:r>
      <w:r>
        <w:rPr>
          <w:rFonts w:ascii="Times New Roman" w:hAnsi="Times New Roman" w:cs="Times New Roman"/>
          <w:color w:val="000000"/>
          <w:sz w:val="24"/>
          <w:szCs w:val="24"/>
        </w:rPr>
        <w:t>n</w:t>
      </w:r>
      <w:r>
        <w:rPr>
          <w:rFonts w:ascii="Times New Roman" w:hAnsi="Times New Roman" w:cs="Times New Roman"/>
          <w:color w:val="000000"/>
          <w:sz w:val="24"/>
          <w:szCs w:val="24"/>
        </w:rPr>
        <w:t>acted an express pre-emption provision at some point during the FDCA's 70-year history.</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As the United States argues, </w:t>
      </w:r>
      <w:r>
        <w:rPr>
          <w:rFonts w:ascii="Times New Roman" w:hAnsi="Times New Roman" w:cs="Times New Roman"/>
          <w:color w:val="000000"/>
          <w:sz w:val="24"/>
          <w:szCs w:val="24"/>
        </w:rPr>
        <w:t>“</w:t>
      </w:r>
      <w:r>
        <w:rPr>
          <w:rFonts w:ascii="Times New Roman" w:hAnsi="Times New Roman" w:cs="Times New Roman"/>
          <w:color w:val="000000"/>
          <w:sz w:val="24"/>
          <w:szCs w:val="24"/>
        </w:rPr>
        <w:t>nothing in the FDCA, the NLEA, FDA's regulations, or the preambles to those regulations suggests that FDA has marked the metes and bounds of all possible misleading material on juice labels, or that its authority must be deemed exclusive even as to matters</w:t>
      </w:r>
      <w:r>
        <w:rPr>
          <w:rFonts w:ascii="Times New Roman" w:hAnsi="Times New Roman" w:cs="Times New Roman"/>
          <w:color w:val="000000"/>
          <w:sz w:val="24"/>
          <w:szCs w:val="24"/>
        </w:rPr>
        <w:t xml:space="preserve"> the agency has never specifically addressed.</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U.S. Amicus Br. 12.</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In sum, the Lanham Act and the FDCA serve different purposes. With respect to juice labeling, there is overlap where both statutes address naming </w:t>
      </w:r>
      <w:r>
        <w:rPr>
          <w:rFonts w:ascii="Times New Roman" w:hAnsi="Times New Roman" w:cs="Times New Roman"/>
          <w:b/>
          <w:bCs/>
          <w:color w:val="000000"/>
          <w:sz w:val="24"/>
          <w:szCs w:val="24"/>
        </w:rPr>
        <w:t>*13</w:t>
      </w:r>
      <w:r>
        <w:rPr>
          <w:rFonts w:ascii="Times New Roman" w:hAnsi="Times New Roman" w:cs="Times New Roman"/>
          <w:color w:val="000000"/>
          <w:sz w:val="24"/>
          <w:szCs w:val="24"/>
        </w:rPr>
        <w:t xml:space="preserve"> or labeling of products. A primary pu</w:t>
      </w:r>
      <w:r>
        <w:rPr>
          <w:rFonts w:ascii="Times New Roman" w:hAnsi="Times New Roman" w:cs="Times New Roman"/>
          <w:color w:val="000000"/>
          <w:sz w:val="24"/>
          <w:szCs w:val="24"/>
        </w:rPr>
        <w:t>r</w:t>
      </w:r>
      <w:r>
        <w:rPr>
          <w:rFonts w:ascii="Times New Roman" w:hAnsi="Times New Roman" w:cs="Times New Roman"/>
          <w:color w:val="000000"/>
          <w:sz w:val="24"/>
          <w:szCs w:val="24"/>
        </w:rPr>
        <w:lastRenderedPageBreak/>
        <w:t>pose of the Lanham Act is to protect private competitors by enabling them to challenge false or misleading advertising. The purpose of the FDCA and FDA regulations is to specify standards for labeling for the purpose of keeping the public safe, with compli</w:t>
      </w:r>
      <w:r>
        <w:rPr>
          <w:rFonts w:ascii="Times New Roman" w:hAnsi="Times New Roman" w:cs="Times New Roman"/>
          <w:color w:val="000000"/>
          <w:sz w:val="24"/>
          <w:szCs w:val="24"/>
        </w:rPr>
        <w:t>ance enforced by the FDA.</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B. The Ninth Circuit's Decision Fails To Identify Any Irreconcilable Conflict Between Section 43(a) And The FDCA's Misbranding Scheme.</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In reconciling potentially overlapping federal statutes, this Court requires courts to give f</w:t>
      </w:r>
      <w:r>
        <w:rPr>
          <w:rFonts w:ascii="Times New Roman" w:hAnsi="Times New Roman" w:cs="Times New Roman"/>
          <w:color w:val="000000"/>
          <w:sz w:val="24"/>
          <w:szCs w:val="24"/>
        </w:rPr>
        <w:t xml:space="preserve">ull effect to allegedly competing federal statutes unless they are in </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w:t>
      </w:r>
      <w:r>
        <w:rPr>
          <w:rFonts w:ascii="Times New Roman" w:hAnsi="Times New Roman" w:cs="Times New Roman"/>
          <w:color w:val="000000"/>
          <w:sz w:val="24"/>
          <w:szCs w:val="24"/>
        </w:rPr>
        <w:t>irreconcilable conflict.</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hyperlink r:id="rId221" w:history="1">
        <w:r>
          <w:rPr>
            <w:rFonts w:ascii="Times New Roman" w:hAnsi="Times New Roman" w:cs="Times New Roman"/>
            <w:i/>
            <w:iCs/>
            <w:color w:val="0000FF"/>
            <w:sz w:val="24"/>
            <w:szCs w:val="24"/>
          </w:rPr>
          <w:t>Branch,</w:t>
        </w:r>
      </w:hyperlink>
      <w:hyperlink r:id="rId222" w:history="1">
        <w:r>
          <w:rPr>
            <w:rFonts w:ascii="Times New Roman" w:hAnsi="Times New Roman" w:cs="Times New Roman"/>
            <w:color w:val="0000FF"/>
            <w:sz w:val="24"/>
            <w:szCs w:val="24"/>
          </w:rPr>
          <w:t xml:space="preserve"> 538 U.S. at 273</w:t>
        </w:r>
      </w:hyperlink>
      <w:r>
        <w:rPr>
          <w:rFonts w:ascii="Times New Roman" w:hAnsi="Times New Roman" w:cs="Times New Roman"/>
          <w:color w:val="000000"/>
          <w:sz w:val="24"/>
          <w:szCs w:val="24"/>
        </w:rPr>
        <w:t xml:space="preserve"> (quoting </w:t>
      </w:r>
      <w:hyperlink r:id="rId223" w:history="1">
        <w:r>
          <w:rPr>
            <w:rFonts w:ascii="Times New Roman" w:hAnsi="Times New Roman" w:cs="Times New Roman"/>
            <w:i/>
            <w:iCs/>
            <w:color w:val="0000FF"/>
            <w:sz w:val="24"/>
            <w:szCs w:val="24"/>
          </w:rPr>
          <w:t>Posadas v. Nat'l City Bank,</w:t>
        </w:r>
      </w:hyperlink>
      <w:hyperlink r:id="rId224" w:history="1">
        <w:r>
          <w:rPr>
            <w:rFonts w:ascii="Times New Roman" w:hAnsi="Times New Roman" w:cs="Times New Roman"/>
            <w:color w:val="0000FF"/>
            <w:sz w:val="24"/>
            <w:szCs w:val="24"/>
          </w:rPr>
          <w:t xml:space="preserve"> 296 U.S. 497, 503 (1936)</w:t>
        </w:r>
      </w:hyperlink>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w:t>
      </w:r>
      <w:r>
        <w:rPr>
          <w:rFonts w:ascii="Times New Roman" w:hAnsi="Times New Roman" w:cs="Times New Roman"/>
          <w:color w:val="000000"/>
          <w:sz w:val="24"/>
          <w:szCs w:val="24"/>
        </w:rPr>
        <w:t>[W]hen two statutes are capable of coexistence, it is the duty of the courts, absent a clearly expressed congressional intention to the contrary, to regard each as effective.</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hyperlink r:id="rId225" w:history="1">
        <w:r>
          <w:rPr>
            <w:rFonts w:ascii="Times New Roman" w:hAnsi="Times New Roman" w:cs="Times New Roman"/>
            <w:i/>
            <w:iCs/>
            <w:color w:val="0000FF"/>
            <w:sz w:val="24"/>
            <w:szCs w:val="24"/>
          </w:rPr>
          <w:t>Morton v. Mancari,</w:t>
        </w:r>
      </w:hyperlink>
      <w:hyperlink r:id="rId226" w:history="1">
        <w:r>
          <w:rPr>
            <w:rFonts w:ascii="Times New Roman" w:hAnsi="Times New Roman" w:cs="Times New Roman"/>
            <w:color w:val="0000FF"/>
            <w:sz w:val="24"/>
            <w:szCs w:val="24"/>
          </w:rPr>
          <w:t xml:space="preserve"> 417 U.S. 535, 551 (1974)</w:t>
        </w:r>
      </w:hyperlink>
      <w:r>
        <w:rPr>
          <w:rFonts w:ascii="Times New Roman" w:hAnsi="Times New Roman" w:cs="Times New Roman"/>
          <w:color w:val="000000"/>
          <w:sz w:val="24"/>
          <w:szCs w:val="24"/>
        </w:rPr>
        <w:t xml:space="preserve">. Courts are </w:t>
      </w:r>
      <w:r>
        <w:rPr>
          <w:rFonts w:ascii="Times New Roman" w:hAnsi="Times New Roman" w:cs="Times New Roman"/>
          <w:color w:val="000000"/>
          <w:sz w:val="24"/>
          <w:szCs w:val="24"/>
        </w:rPr>
        <w:t>“</w:t>
      </w:r>
      <w:r>
        <w:rPr>
          <w:rFonts w:ascii="Times New Roman" w:hAnsi="Times New Roman" w:cs="Times New Roman"/>
          <w:color w:val="000000"/>
          <w:sz w:val="24"/>
          <w:szCs w:val="24"/>
        </w:rPr>
        <w:t>not at liberty to pick and choose among congressional enactments.</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 xml:space="preserve">Id.; </w:t>
      </w:r>
      <w:hyperlink r:id="rId227" w:history="1">
        <w:r>
          <w:rPr>
            <w:rFonts w:ascii="Times New Roman" w:hAnsi="Times New Roman" w:cs="Times New Roman"/>
            <w:i/>
            <w:iCs/>
            <w:color w:val="0000FF"/>
            <w:sz w:val="24"/>
            <w:szCs w:val="24"/>
          </w:rPr>
          <w:t>United States v. Borden Co.,</w:t>
        </w:r>
      </w:hyperlink>
      <w:hyperlink r:id="rId228" w:history="1">
        <w:r>
          <w:rPr>
            <w:rFonts w:ascii="Times New Roman" w:hAnsi="Times New Roman" w:cs="Times New Roman"/>
            <w:color w:val="0000FF"/>
            <w:sz w:val="24"/>
            <w:szCs w:val="24"/>
          </w:rPr>
          <w:t xml:space="preserve"> 308 U.S. 188, 198 (1939)</w:t>
        </w:r>
      </w:hyperlink>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w:t>
      </w:r>
      <w:r>
        <w:rPr>
          <w:rFonts w:ascii="Times New Roman" w:hAnsi="Times New Roman" w:cs="Times New Roman"/>
          <w:color w:val="000000"/>
          <w:sz w:val="24"/>
          <w:szCs w:val="24"/>
        </w:rPr>
        <w:t>When there are two acts upon the same subject, the rule is to give effect to both if possible.</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Statutes that </w:t>
      </w:r>
      <w:r>
        <w:rPr>
          <w:rFonts w:ascii="Times New Roman" w:hAnsi="Times New Roman" w:cs="Times New Roman"/>
          <w:color w:val="000000"/>
          <w:sz w:val="24"/>
          <w:szCs w:val="24"/>
        </w:rPr>
        <w:t>“</w:t>
      </w:r>
      <w:r>
        <w:rPr>
          <w:rFonts w:ascii="Times New Roman" w:hAnsi="Times New Roman" w:cs="Times New Roman"/>
          <w:color w:val="000000"/>
          <w:sz w:val="24"/>
          <w:szCs w:val="24"/>
        </w:rPr>
        <w:t>overlap</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or may appear to be som</w:t>
      </w:r>
      <w:r>
        <w:rPr>
          <w:rFonts w:ascii="Times New Roman" w:hAnsi="Times New Roman" w:cs="Times New Roman"/>
          <w:color w:val="000000"/>
          <w:sz w:val="24"/>
          <w:szCs w:val="24"/>
        </w:rPr>
        <w:t>e</w:t>
      </w:r>
      <w:r>
        <w:rPr>
          <w:rFonts w:ascii="Times New Roman" w:hAnsi="Times New Roman" w:cs="Times New Roman"/>
          <w:color w:val="000000"/>
          <w:sz w:val="24"/>
          <w:szCs w:val="24"/>
        </w:rPr>
        <w:t xml:space="preserve">what </w:t>
      </w:r>
      <w:r>
        <w:rPr>
          <w:rFonts w:ascii="Times New Roman" w:hAnsi="Times New Roman" w:cs="Times New Roman"/>
          <w:color w:val="000000"/>
          <w:sz w:val="24"/>
          <w:szCs w:val="24"/>
        </w:rPr>
        <w:t>“</w:t>
      </w:r>
      <w:r>
        <w:rPr>
          <w:rFonts w:ascii="Times New Roman" w:hAnsi="Times New Roman" w:cs="Times New Roman"/>
          <w:color w:val="000000"/>
          <w:sz w:val="24"/>
          <w:szCs w:val="24"/>
        </w:rPr>
        <w:t>redundan[t]</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can be </w:t>
      </w:r>
      <w:r>
        <w:rPr>
          <w:rFonts w:ascii="Times New Roman" w:hAnsi="Times New Roman" w:cs="Times New Roman"/>
          <w:color w:val="000000"/>
          <w:sz w:val="24"/>
          <w:szCs w:val="24"/>
        </w:rPr>
        <w:t>“</w:t>
      </w:r>
      <w:r>
        <w:rPr>
          <w:rFonts w:ascii="Times New Roman" w:hAnsi="Times New Roman" w:cs="Times New Roman"/>
          <w:color w:val="000000"/>
          <w:sz w:val="24"/>
          <w:szCs w:val="24"/>
        </w:rPr>
        <w:t>fully capable of coexisting.</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hyperlink r:id="rId229" w:history="1">
        <w:r>
          <w:rPr>
            <w:rFonts w:ascii="Times New Roman" w:hAnsi="Times New Roman" w:cs="Times New Roman"/>
            <w:i/>
            <w:iCs/>
            <w:color w:val="0000FF"/>
            <w:sz w:val="24"/>
            <w:szCs w:val="24"/>
          </w:rPr>
          <w:t>United States v. Batchelder,</w:t>
        </w:r>
      </w:hyperlink>
      <w:hyperlink r:id="rId230" w:history="1">
        <w:r>
          <w:rPr>
            <w:rFonts w:ascii="Times New Roman" w:hAnsi="Times New Roman" w:cs="Times New Roman"/>
            <w:color w:val="0000FF"/>
            <w:sz w:val="24"/>
            <w:szCs w:val="24"/>
          </w:rPr>
          <w:t xml:space="preserve"> 442 U.S. 114, 118, 122 (1979)</w:t>
        </w:r>
      </w:hyperlink>
      <w:r>
        <w:rPr>
          <w:rFonts w:ascii="Times New Roman" w:hAnsi="Times New Roman" w:cs="Times New Roman"/>
          <w:color w:val="000000"/>
          <w:sz w:val="24"/>
          <w:szCs w:val="24"/>
        </w:rPr>
        <w:t>.</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There is no </w:t>
      </w:r>
      <w:r>
        <w:rPr>
          <w:rFonts w:ascii="Times New Roman" w:hAnsi="Times New Roman" w:cs="Times New Roman"/>
          <w:color w:val="000000"/>
          <w:sz w:val="24"/>
          <w:szCs w:val="24"/>
        </w:rPr>
        <w:t>“</w:t>
      </w:r>
      <w:r>
        <w:rPr>
          <w:rFonts w:ascii="Times New Roman" w:hAnsi="Times New Roman" w:cs="Times New Roman"/>
          <w:color w:val="000000"/>
          <w:sz w:val="24"/>
          <w:szCs w:val="24"/>
        </w:rPr>
        <w:t>irreconcilable conflict</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between Section 43(a) of the Lanham Act and the FDCA. </w:t>
      </w:r>
      <w:hyperlink r:id="rId231" w:history="1">
        <w:r>
          <w:rPr>
            <w:rFonts w:ascii="Times New Roman" w:hAnsi="Times New Roman" w:cs="Times New Roman"/>
            <w:i/>
            <w:iCs/>
            <w:color w:val="0000FF"/>
            <w:sz w:val="24"/>
            <w:szCs w:val="24"/>
          </w:rPr>
          <w:t>Branch,</w:t>
        </w:r>
      </w:hyperlink>
      <w:hyperlink r:id="rId232" w:history="1">
        <w:r>
          <w:rPr>
            <w:rFonts w:ascii="Times New Roman" w:hAnsi="Times New Roman" w:cs="Times New Roman"/>
            <w:color w:val="0000FF"/>
            <w:sz w:val="24"/>
            <w:szCs w:val="24"/>
          </w:rPr>
          <w:t xml:space="preserve"> 538 U.S. at 273</w:t>
        </w:r>
      </w:hyperlink>
      <w:r>
        <w:rPr>
          <w:rFonts w:ascii="Times New Roman" w:hAnsi="Times New Roman" w:cs="Times New Roman"/>
          <w:color w:val="000000"/>
          <w:sz w:val="24"/>
          <w:szCs w:val="24"/>
        </w:rPr>
        <w:t xml:space="preserve">. In fact, the court of appeals' opinion fails even to address whether the statutes meet this standard. Instead, the court of appeals gave effect to the FDCA, and not the Lanham Act, by precluding </w:t>
      </w:r>
      <w:r>
        <w:rPr>
          <w:rFonts w:ascii="Times New Roman" w:hAnsi="Times New Roman" w:cs="Times New Roman"/>
          <w:b/>
          <w:bCs/>
          <w:color w:val="000000"/>
          <w:sz w:val="24"/>
          <w:szCs w:val="24"/>
        </w:rPr>
        <w:t>*14</w:t>
      </w:r>
      <w:r>
        <w:rPr>
          <w:rFonts w:ascii="Times New Roman" w:hAnsi="Times New Roman" w:cs="Times New Roman"/>
          <w:color w:val="000000"/>
          <w:sz w:val="24"/>
          <w:szCs w:val="24"/>
        </w:rPr>
        <w:t xml:space="preserve"> the application of Section 43(a) </w:t>
      </w:r>
      <w:r>
        <w:rPr>
          <w:rFonts w:ascii="Times New Roman" w:hAnsi="Times New Roman" w:cs="Times New Roman"/>
          <w:color w:val="000000"/>
          <w:sz w:val="24"/>
          <w:szCs w:val="24"/>
        </w:rPr>
        <w:t>to a broad range of potentially misleading statements solely on the ground that they are subject to FDA regulation. Pet. App. 8a (</w:t>
      </w:r>
      <w:r>
        <w:rPr>
          <w:rFonts w:ascii="Times New Roman" w:hAnsi="Times New Roman" w:cs="Times New Roman"/>
          <w:color w:val="000000"/>
          <w:sz w:val="24"/>
          <w:szCs w:val="24"/>
        </w:rPr>
        <w:t>“</w:t>
      </w:r>
      <w:r>
        <w:rPr>
          <w:rFonts w:ascii="Times New Roman" w:hAnsi="Times New Roman" w:cs="Times New Roman"/>
          <w:color w:val="000000"/>
          <w:sz w:val="24"/>
          <w:szCs w:val="24"/>
        </w:rPr>
        <w:t>[T]he Lanham Act may not be used as a vehicle to usurp, preempt, or undermine FDA autho</w:t>
      </w:r>
      <w:r>
        <w:rPr>
          <w:rFonts w:ascii="Times New Roman" w:hAnsi="Times New Roman" w:cs="Times New Roman"/>
          <w:color w:val="000000"/>
          <w:sz w:val="24"/>
          <w:szCs w:val="24"/>
        </w:rPr>
        <w:t>r</w:t>
      </w:r>
      <w:r>
        <w:rPr>
          <w:rFonts w:ascii="Times New Roman" w:hAnsi="Times New Roman" w:cs="Times New Roman"/>
          <w:color w:val="000000"/>
          <w:sz w:val="24"/>
          <w:szCs w:val="24"/>
        </w:rPr>
        <w:t>ity.</w:t>
      </w:r>
      <w:r>
        <w:rPr>
          <w:rFonts w:ascii="Times New Roman" w:hAnsi="Times New Roman" w:cs="Times New Roman"/>
          <w:color w:val="000000"/>
          <w:sz w:val="24"/>
          <w:szCs w:val="24"/>
        </w:rPr>
        <w:t>”</w:t>
      </w:r>
      <w:r>
        <w:rPr>
          <w:rFonts w:ascii="Times New Roman" w:hAnsi="Times New Roman" w:cs="Times New Roman"/>
          <w:color w:val="000000"/>
          <w:sz w:val="24"/>
          <w:szCs w:val="24"/>
        </w:rPr>
        <w:t>). The court of appeals conclude</w:t>
      </w:r>
      <w:r>
        <w:rPr>
          <w:rFonts w:ascii="Times New Roman" w:hAnsi="Times New Roman" w:cs="Times New Roman"/>
          <w:color w:val="000000"/>
          <w:sz w:val="24"/>
          <w:szCs w:val="24"/>
        </w:rPr>
        <w:t xml:space="preserve">d that </w:t>
      </w:r>
      <w:r>
        <w:rPr>
          <w:rFonts w:ascii="Times New Roman" w:hAnsi="Times New Roman" w:cs="Times New Roman"/>
          <w:color w:val="000000"/>
          <w:sz w:val="24"/>
          <w:szCs w:val="24"/>
        </w:rPr>
        <w:t>“</w:t>
      </w:r>
      <w:r>
        <w:rPr>
          <w:rFonts w:ascii="Times New Roman" w:hAnsi="Times New Roman" w:cs="Times New Roman"/>
          <w:color w:val="000000"/>
          <w:sz w:val="24"/>
          <w:szCs w:val="24"/>
        </w:rPr>
        <w:t>the FDCA and its regulations bar pursuit of both the name and labeling aspects of [Pom's] Lanham Act claim.</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Pet. App. 9a.</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With respect to the name of the product at issue, the court explained that because </w:t>
      </w:r>
      <w:hyperlink r:id="rId233" w:history="1">
        <w:r>
          <w:rPr>
            <w:rFonts w:ascii="Times New Roman" w:hAnsi="Times New Roman" w:cs="Times New Roman"/>
            <w:color w:val="0000FF"/>
            <w:sz w:val="24"/>
            <w:szCs w:val="24"/>
          </w:rPr>
          <w:t>21 C.F.R. § 102.33(d)</w:t>
        </w:r>
      </w:hyperlink>
      <w:r>
        <w:rPr>
          <w:rFonts w:ascii="Times New Roman" w:hAnsi="Times New Roman" w:cs="Times New Roman"/>
          <w:color w:val="000000"/>
          <w:sz w:val="24"/>
          <w:szCs w:val="24"/>
        </w:rPr>
        <w:t xml:space="preserve"> permits a manufacturer to name a beverage using the name of a </w:t>
      </w:r>
      <w:r>
        <w:rPr>
          <w:rFonts w:ascii="Times New Roman" w:hAnsi="Times New Roman" w:cs="Times New Roman"/>
          <w:color w:val="000000"/>
          <w:sz w:val="24"/>
          <w:szCs w:val="24"/>
        </w:rPr>
        <w:t xml:space="preserve">flavoring juice that is not predominant, </w:t>
      </w:r>
      <w:r>
        <w:rPr>
          <w:rFonts w:ascii="Times New Roman" w:hAnsi="Times New Roman" w:cs="Times New Roman"/>
          <w:color w:val="000000"/>
          <w:sz w:val="24"/>
          <w:szCs w:val="24"/>
        </w:rPr>
        <w:t>“</w:t>
      </w:r>
      <w:r>
        <w:rPr>
          <w:rFonts w:ascii="Times New Roman" w:hAnsi="Times New Roman" w:cs="Times New Roman"/>
          <w:color w:val="000000"/>
          <w:sz w:val="24"/>
          <w:szCs w:val="24"/>
        </w:rPr>
        <w:t>as best we can tell, FDA regulations authorize the name [Coca-Cola] has chosen.</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Pet. App. 9a. According to the court of appeals, Pom's challenge to the common name </w:t>
      </w:r>
      <w:r>
        <w:rPr>
          <w:rFonts w:ascii="Times New Roman" w:hAnsi="Times New Roman" w:cs="Times New Roman"/>
          <w:color w:val="000000"/>
          <w:sz w:val="24"/>
          <w:szCs w:val="24"/>
        </w:rPr>
        <w:t>“</w:t>
      </w:r>
      <w:r>
        <w:rPr>
          <w:rFonts w:ascii="Times New Roman" w:hAnsi="Times New Roman" w:cs="Times New Roman"/>
          <w:color w:val="000000"/>
          <w:sz w:val="24"/>
          <w:szCs w:val="24"/>
        </w:rPr>
        <w:t>Pom</w:t>
      </w:r>
      <w:r>
        <w:rPr>
          <w:rFonts w:ascii="Times New Roman" w:hAnsi="Times New Roman" w:cs="Times New Roman"/>
          <w:color w:val="000000"/>
          <w:sz w:val="24"/>
          <w:szCs w:val="24"/>
        </w:rPr>
        <w:t>e</w:t>
      </w:r>
      <w:r>
        <w:rPr>
          <w:rFonts w:ascii="Times New Roman" w:hAnsi="Times New Roman" w:cs="Times New Roman"/>
          <w:color w:val="000000"/>
          <w:sz w:val="24"/>
          <w:szCs w:val="24"/>
        </w:rPr>
        <w:t>granate Blueberry Flavored Blend of 5 Juices</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would create a conflict with FDA regulations and would </w:t>
      </w:r>
      <w:r>
        <w:rPr>
          <w:rFonts w:ascii="Times New Roman" w:hAnsi="Times New Roman" w:cs="Times New Roman"/>
          <w:color w:val="000000"/>
          <w:sz w:val="24"/>
          <w:szCs w:val="24"/>
        </w:rPr>
        <w:t>“</w:t>
      </w:r>
      <w:r>
        <w:rPr>
          <w:rFonts w:ascii="Times New Roman" w:hAnsi="Times New Roman" w:cs="Times New Roman"/>
          <w:color w:val="000000"/>
          <w:sz w:val="24"/>
          <w:szCs w:val="24"/>
        </w:rPr>
        <w:t>require [the court] to undermine the FDA's apparent determination that so naming the product is not misleading.</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Id.</w:t>
      </w:r>
      <w:r>
        <w:rPr>
          <w:rFonts w:ascii="Times New Roman" w:hAnsi="Times New Roman" w:cs="Times New Roman"/>
          <w:color w:val="000000"/>
          <w:sz w:val="20"/>
          <w:szCs w:val="20"/>
          <w:vertAlign w:val="superscript"/>
        </w:rPr>
        <w:t>[FN6]</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ind w:left="720"/>
        <w:jc w:val="both"/>
        <w:rPr>
          <w:rFonts w:ascii="Times New Roman" w:hAnsi="Times New Roman" w:cs="Times New Roman"/>
          <w:color w:val="000000"/>
          <w:sz w:val="24"/>
          <w:szCs w:val="24"/>
        </w:rPr>
      </w:pPr>
      <w:r>
        <w:rPr>
          <w:rFonts w:ascii="Times New Roman" w:hAnsi="Times New Roman" w:cs="Times New Roman"/>
          <w:color w:val="000000"/>
          <w:sz w:val="24"/>
          <w:szCs w:val="24"/>
        </w:rPr>
        <w:t>FN6. There are some recognized limits on a Lanham Act plaintiffs ability to</w:t>
      </w:r>
      <w:r>
        <w:rPr>
          <w:rFonts w:ascii="Times New Roman" w:hAnsi="Times New Roman" w:cs="Times New Roman"/>
          <w:color w:val="000000"/>
          <w:sz w:val="24"/>
          <w:szCs w:val="24"/>
        </w:rPr>
        <w:t xml:space="preserve"> sue in areas </w:t>
      </w:r>
      <w:r>
        <w:rPr>
          <w:rFonts w:ascii="Times New Roman" w:hAnsi="Times New Roman" w:cs="Times New Roman"/>
          <w:color w:val="000000"/>
          <w:sz w:val="24"/>
          <w:szCs w:val="24"/>
        </w:rPr>
        <w:lastRenderedPageBreak/>
        <w:t>the FDA regulates. A plaintiff may not, for example, sue under the Lanham Act claiming that an advertisement is false or misleading because it violates the FDCA or its regulations - allowing such a suit could conflict with Congress's decision</w:t>
      </w:r>
      <w:r>
        <w:rPr>
          <w:rFonts w:ascii="Times New Roman" w:hAnsi="Times New Roman" w:cs="Times New Roman"/>
          <w:color w:val="000000"/>
          <w:sz w:val="24"/>
          <w:szCs w:val="24"/>
        </w:rPr>
        <w:t xml:space="preserve"> to limit enforcement of the FDCA to the federal government. </w:t>
      </w:r>
      <w:r>
        <w:rPr>
          <w:rFonts w:ascii="Times New Roman" w:hAnsi="Times New Roman" w:cs="Times New Roman"/>
          <w:i/>
          <w:iCs/>
          <w:color w:val="000000"/>
          <w:sz w:val="24"/>
          <w:szCs w:val="24"/>
        </w:rPr>
        <w:t xml:space="preserve">See, e.g., </w:t>
      </w:r>
      <w:hyperlink r:id="rId234" w:history="1">
        <w:r>
          <w:rPr>
            <w:rFonts w:ascii="Times New Roman" w:hAnsi="Times New Roman" w:cs="Times New Roman"/>
            <w:i/>
            <w:iCs/>
            <w:color w:val="0000FF"/>
            <w:sz w:val="24"/>
            <w:szCs w:val="24"/>
          </w:rPr>
          <w:t>Mylan Labs., Inc. v. Matkari,</w:t>
        </w:r>
      </w:hyperlink>
      <w:hyperlink r:id="rId235" w:history="1">
        <w:r>
          <w:rPr>
            <w:rFonts w:ascii="Times New Roman" w:hAnsi="Times New Roman" w:cs="Times New Roman"/>
            <w:color w:val="0000FF"/>
            <w:sz w:val="24"/>
            <w:szCs w:val="24"/>
          </w:rPr>
          <w:t xml:space="preserve"> 7 F.3d 1130, 1149 (4th Cir. 1993)</w:t>
        </w:r>
      </w:hyperlink>
      <w:r>
        <w:rPr>
          <w:rFonts w:ascii="Times New Roman" w:hAnsi="Times New Roman" w:cs="Times New Roman"/>
          <w:color w:val="000000"/>
          <w:sz w:val="24"/>
          <w:szCs w:val="24"/>
        </w:rPr>
        <w:t>. This is particularly true wh</w:t>
      </w:r>
      <w:r>
        <w:rPr>
          <w:rFonts w:ascii="Times New Roman" w:hAnsi="Times New Roman" w:cs="Times New Roman"/>
          <w:color w:val="000000"/>
          <w:sz w:val="24"/>
          <w:szCs w:val="24"/>
        </w:rPr>
        <w:t>ere a Lanham Act claim is based on an alleged violation of an FDCA provision and would require the court to preemptively i</w:t>
      </w:r>
      <w:r>
        <w:rPr>
          <w:rFonts w:ascii="Times New Roman" w:hAnsi="Times New Roman" w:cs="Times New Roman"/>
          <w:color w:val="000000"/>
          <w:sz w:val="24"/>
          <w:szCs w:val="24"/>
        </w:rPr>
        <w:t>n</w:t>
      </w:r>
      <w:r>
        <w:rPr>
          <w:rFonts w:ascii="Times New Roman" w:hAnsi="Times New Roman" w:cs="Times New Roman"/>
          <w:color w:val="000000"/>
          <w:sz w:val="24"/>
          <w:szCs w:val="24"/>
        </w:rPr>
        <w:t>terpret and apply ambiguous FDA regulations or to predict the FDA's future and discr</w:t>
      </w:r>
      <w:r>
        <w:rPr>
          <w:rFonts w:ascii="Times New Roman" w:hAnsi="Times New Roman" w:cs="Times New Roman"/>
          <w:color w:val="000000"/>
          <w:sz w:val="24"/>
          <w:szCs w:val="24"/>
        </w:rPr>
        <w:t>e</w:t>
      </w:r>
      <w:r>
        <w:rPr>
          <w:rFonts w:ascii="Times New Roman" w:hAnsi="Times New Roman" w:cs="Times New Roman"/>
          <w:color w:val="000000"/>
          <w:sz w:val="24"/>
          <w:szCs w:val="24"/>
        </w:rPr>
        <w:t xml:space="preserve">tionary decisions. </w:t>
      </w:r>
      <w:r>
        <w:rPr>
          <w:rFonts w:ascii="Times New Roman" w:hAnsi="Times New Roman" w:cs="Times New Roman"/>
          <w:i/>
          <w:iCs/>
          <w:color w:val="000000"/>
          <w:sz w:val="24"/>
          <w:szCs w:val="24"/>
        </w:rPr>
        <w:t xml:space="preserve">See, e.g., </w:t>
      </w:r>
      <w:hyperlink r:id="rId236" w:history="1">
        <w:r>
          <w:rPr>
            <w:rFonts w:ascii="Times New Roman" w:hAnsi="Times New Roman" w:cs="Times New Roman"/>
            <w:i/>
            <w:iCs/>
            <w:color w:val="0000FF"/>
            <w:sz w:val="24"/>
            <w:szCs w:val="24"/>
          </w:rPr>
          <w:t>Sandoz,</w:t>
        </w:r>
      </w:hyperlink>
      <w:hyperlink r:id="rId237" w:history="1">
        <w:r>
          <w:rPr>
            <w:rFonts w:ascii="Times New Roman" w:hAnsi="Times New Roman" w:cs="Times New Roman"/>
            <w:color w:val="0000FF"/>
            <w:sz w:val="24"/>
            <w:szCs w:val="24"/>
          </w:rPr>
          <w:t xml:space="preserve"> 902 F.2d at 231-32</w:t>
        </w:r>
      </w:hyperlink>
      <w:r>
        <w:rPr>
          <w:rFonts w:ascii="Times New Roman" w:hAnsi="Times New Roman" w:cs="Times New Roman"/>
          <w:color w:val="000000"/>
          <w:sz w:val="24"/>
          <w:szCs w:val="24"/>
        </w:rPr>
        <w:t xml:space="preserve"> (claim that drug label falsely d</w:t>
      </w:r>
      <w:r>
        <w:rPr>
          <w:rFonts w:ascii="Times New Roman" w:hAnsi="Times New Roman" w:cs="Times New Roman"/>
          <w:color w:val="000000"/>
          <w:sz w:val="24"/>
          <w:szCs w:val="24"/>
        </w:rPr>
        <w:t>e</w:t>
      </w:r>
      <w:r>
        <w:rPr>
          <w:rFonts w:ascii="Times New Roman" w:hAnsi="Times New Roman" w:cs="Times New Roman"/>
          <w:color w:val="000000"/>
          <w:sz w:val="24"/>
          <w:szCs w:val="24"/>
        </w:rPr>
        <w:t xml:space="preserve">scribed ingredient as </w:t>
      </w:r>
      <w:r>
        <w:rPr>
          <w:rFonts w:ascii="Times New Roman" w:hAnsi="Times New Roman" w:cs="Times New Roman"/>
          <w:color w:val="000000"/>
          <w:sz w:val="24"/>
          <w:szCs w:val="24"/>
        </w:rPr>
        <w:t>“</w:t>
      </w:r>
      <w:r>
        <w:rPr>
          <w:rFonts w:ascii="Times New Roman" w:hAnsi="Times New Roman" w:cs="Times New Roman"/>
          <w:color w:val="000000"/>
          <w:sz w:val="24"/>
          <w:szCs w:val="24"/>
        </w:rPr>
        <w:t>inactive</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was barred because the issue of whether the ingredient was active or inactive was under FDA review). However, a Lanham </w:t>
      </w:r>
      <w:r>
        <w:rPr>
          <w:rFonts w:ascii="Times New Roman" w:hAnsi="Times New Roman" w:cs="Times New Roman"/>
          <w:color w:val="000000"/>
          <w:sz w:val="24"/>
          <w:szCs w:val="24"/>
        </w:rPr>
        <w:t xml:space="preserve">Act claim may proceed even when it </w:t>
      </w:r>
      <w:r>
        <w:rPr>
          <w:rFonts w:ascii="Times New Roman" w:hAnsi="Times New Roman" w:cs="Times New Roman"/>
          <w:color w:val="000000"/>
          <w:sz w:val="24"/>
          <w:szCs w:val="24"/>
        </w:rPr>
        <w:t>“</w:t>
      </w:r>
      <w:r>
        <w:rPr>
          <w:rFonts w:ascii="Times New Roman" w:hAnsi="Times New Roman" w:cs="Times New Roman"/>
          <w:color w:val="000000"/>
          <w:sz w:val="24"/>
          <w:szCs w:val="24"/>
        </w:rPr>
        <w:t>turns on the meaning of [FDA] publications in the Federal Register and Code of Federal Regulations.</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 xml:space="preserve">See </w:t>
      </w:r>
      <w:hyperlink r:id="rId238" w:history="1">
        <w:r>
          <w:rPr>
            <w:rFonts w:ascii="Times New Roman" w:hAnsi="Times New Roman" w:cs="Times New Roman"/>
            <w:i/>
            <w:iCs/>
            <w:color w:val="0000FF"/>
            <w:sz w:val="24"/>
            <w:szCs w:val="24"/>
          </w:rPr>
          <w:t>Alpharma Inc. v. Pennfield Oil Co.,</w:t>
        </w:r>
      </w:hyperlink>
      <w:hyperlink r:id="rId239" w:history="1">
        <w:r>
          <w:rPr>
            <w:rFonts w:ascii="Times New Roman" w:hAnsi="Times New Roman" w:cs="Times New Roman"/>
            <w:color w:val="0000FF"/>
            <w:sz w:val="24"/>
            <w:szCs w:val="24"/>
          </w:rPr>
          <w:t xml:space="preserve"> 411 F.3d 934, 939 (8</w:t>
        </w:r>
        <w:r>
          <w:rPr>
            <w:rFonts w:ascii="Times New Roman" w:hAnsi="Times New Roman" w:cs="Times New Roman"/>
            <w:color w:val="0000FF"/>
            <w:sz w:val="24"/>
            <w:szCs w:val="24"/>
          </w:rPr>
          <w:t>th Cir. 2005)</w:t>
        </w:r>
      </w:hyperlink>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w:t>
      </w:r>
      <w:r>
        <w:rPr>
          <w:rFonts w:ascii="Times New Roman" w:hAnsi="Times New Roman" w:cs="Times New Roman"/>
          <w:color w:val="000000"/>
          <w:sz w:val="24"/>
          <w:szCs w:val="24"/>
        </w:rPr>
        <w:t>Interpretation of such materials is well within the conventional experience of judges</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(internal quotation omitted). Because such claims do not depend upon proving an FDCA violation, they are </w:t>
      </w:r>
      <w:r>
        <w:rPr>
          <w:rFonts w:ascii="Times New Roman" w:hAnsi="Times New Roman" w:cs="Times New Roman"/>
          <w:color w:val="000000"/>
          <w:sz w:val="24"/>
          <w:szCs w:val="24"/>
        </w:rPr>
        <w:t>“</w:t>
      </w:r>
      <w:r>
        <w:rPr>
          <w:rFonts w:ascii="Times New Roman" w:hAnsi="Times New Roman" w:cs="Times New Roman"/>
          <w:color w:val="000000"/>
          <w:sz w:val="24"/>
          <w:szCs w:val="24"/>
        </w:rPr>
        <w:t>fully capable of coexisting</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with that stat</w:t>
      </w:r>
      <w:r>
        <w:rPr>
          <w:rFonts w:ascii="Times New Roman" w:hAnsi="Times New Roman" w:cs="Times New Roman"/>
          <w:color w:val="000000"/>
          <w:sz w:val="24"/>
          <w:szCs w:val="24"/>
        </w:rPr>
        <w:t xml:space="preserve">ute. </w:t>
      </w:r>
      <w:r>
        <w:rPr>
          <w:rFonts w:ascii="Times New Roman" w:hAnsi="Times New Roman" w:cs="Times New Roman"/>
          <w:i/>
          <w:iCs/>
          <w:color w:val="000000"/>
          <w:sz w:val="24"/>
          <w:szCs w:val="24"/>
        </w:rPr>
        <w:t xml:space="preserve">See </w:t>
      </w:r>
      <w:hyperlink r:id="rId240" w:history="1">
        <w:r>
          <w:rPr>
            <w:rFonts w:ascii="Times New Roman" w:hAnsi="Times New Roman" w:cs="Times New Roman"/>
            <w:i/>
            <w:iCs/>
            <w:color w:val="0000FF"/>
            <w:sz w:val="24"/>
            <w:szCs w:val="24"/>
          </w:rPr>
          <w:t>Batchelder,</w:t>
        </w:r>
      </w:hyperlink>
      <w:hyperlink r:id="rId241" w:history="1">
        <w:r>
          <w:rPr>
            <w:rFonts w:ascii="Times New Roman" w:hAnsi="Times New Roman" w:cs="Times New Roman"/>
            <w:color w:val="0000FF"/>
            <w:sz w:val="24"/>
            <w:szCs w:val="24"/>
          </w:rPr>
          <w:t xml:space="preserve"> 442 U.S. at 118</w:t>
        </w:r>
      </w:hyperlink>
      <w:r>
        <w:rPr>
          <w:rFonts w:ascii="Times New Roman" w:hAnsi="Times New Roman" w:cs="Times New Roman"/>
          <w:color w:val="000000"/>
          <w:sz w:val="24"/>
          <w:szCs w:val="24"/>
        </w:rPr>
        <w:t>.</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*15</w:t>
      </w:r>
      <w:r>
        <w:rPr>
          <w:rFonts w:ascii="Times New Roman" w:hAnsi="Times New Roman" w:cs="Times New Roman"/>
          <w:color w:val="000000"/>
          <w:sz w:val="24"/>
          <w:szCs w:val="24"/>
        </w:rPr>
        <w:t xml:space="preserve"> With respect to Coca-Cola's labeling of the product, the court of appeals concluded that Pom's Lanham Act claim was precluded with respect to the label</w:t>
      </w:r>
      <w:r>
        <w:rPr>
          <w:rFonts w:ascii="Times New Roman" w:hAnsi="Times New Roman" w:cs="Times New Roman"/>
          <w:color w:val="000000"/>
          <w:sz w:val="24"/>
          <w:szCs w:val="24"/>
        </w:rPr>
        <w:t xml:space="preserve">'s presentation of the words </w:t>
      </w:r>
      <w:r>
        <w:rPr>
          <w:rFonts w:ascii="Times New Roman" w:hAnsi="Times New Roman" w:cs="Times New Roman"/>
          <w:color w:val="000000"/>
          <w:sz w:val="24"/>
          <w:szCs w:val="24"/>
        </w:rPr>
        <w:t>“</w:t>
      </w:r>
      <w:r>
        <w:rPr>
          <w:rFonts w:ascii="Times New Roman" w:hAnsi="Times New Roman" w:cs="Times New Roman"/>
          <w:color w:val="000000"/>
          <w:sz w:val="24"/>
          <w:szCs w:val="24"/>
        </w:rPr>
        <w:t>Pom</w:t>
      </w:r>
      <w:r>
        <w:rPr>
          <w:rFonts w:ascii="Times New Roman" w:hAnsi="Times New Roman" w:cs="Times New Roman"/>
          <w:color w:val="000000"/>
          <w:sz w:val="24"/>
          <w:szCs w:val="24"/>
        </w:rPr>
        <w:t>e</w:t>
      </w:r>
      <w:r>
        <w:rPr>
          <w:rFonts w:ascii="Times New Roman" w:hAnsi="Times New Roman" w:cs="Times New Roman"/>
          <w:color w:val="000000"/>
          <w:sz w:val="24"/>
          <w:szCs w:val="24"/>
        </w:rPr>
        <w:t>granate Blueberry</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in </w:t>
      </w:r>
      <w:r>
        <w:rPr>
          <w:rFonts w:ascii="Times New Roman" w:hAnsi="Times New Roman" w:cs="Times New Roman"/>
          <w:color w:val="000000"/>
          <w:sz w:val="24"/>
          <w:szCs w:val="24"/>
        </w:rPr>
        <w:t>“</w:t>
      </w:r>
      <w:r>
        <w:rPr>
          <w:rFonts w:ascii="Times New Roman" w:hAnsi="Times New Roman" w:cs="Times New Roman"/>
          <w:color w:val="000000"/>
          <w:sz w:val="24"/>
          <w:szCs w:val="24"/>
        </w:rPr>
        <w:t>larger, more conspicuous type</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than the words </w:t>
      </w:r>
      <w:r>
        <w:rPr>
          <w:rFonts w:ascii="Times New Roman" w:hAnsi="Times New Roman" w:cs="Times New Roman"/>
          <w:color w:val="000000"/>
          <w:sz w:val="24"/>
          <w:szCs w:val="24"/>
        </w:rPr>
        <w:t>“</w:t>
      </w:r>
      <w:r>
        <w:rPr>
          <w:rFonts w:ascii="Times New Roman" w:hAnsi="Times New Roman" w:cs="Times New Roman"/>
          <w:color w:val="000000"/>
          <w:sz w:val="24"/>
          <w:szCs w:val="24"/>
        </w:rPr>
        <w:t>Flavored Blend of 5 Juices</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appearing below them. Pet. App. 10a. The FDCA and its implementing regulations </w:t>
      </w:r>
      <w:r>
        <w:rPr>
          <w:rFonts w:ascii="Times New Roman" w:hAnsi="Times New Roman" w:cs="Times New Roman"/>
          <w:color w:val="000000"/>
          <w:sz w:val="24"/>
          <w:szCs w:val="24"/>
        </w:rPr>
        <w:t>“</w:t>
      </w:r>
      <w:r>
        <w:rPr>
          <w:rFonts w:ascii="Times New Roman" w:hAnsi="Times New Roman" w:cs="Times New Roman"/>
          <w:color w:val="000000"/>
          <w:sz w:val="24"/>
          <w:szCs w:val="24"/>
        </w:rPr>
        <w:t>have specified how prominently and conspicuo</w:t>
      </w:r>
      <w:r>
        <w:rPr>
          <w:rFonts w:ascii="Times New Roman" w:hAnsi="Times New Roman" w:cs="Times New Roman"/>
          <w:color w:val="000000"/>
          <w:sz w:val="24"/>
          <w:szCs w:val="24"/>
        </w:rPr>
        <w:t>usly those words and statements must appear.</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Id.</w:t>
      </w:r>
      <w:r>
        <w:rPr>
          <w:rFonts w:ascii="Times New Roman" w:hAnsi="Times New Roman" w:cs="Times New Roman"/>
          <w:color w:val="000000"/>
          <w:sz w:val="24"/>
          <w:szCs w:val="24"/>
        </w:rPr>
        <w:t xml:space="preserve"> (ci</w:t>
      </w:r>
      <w:r>
        <w:rPr>
          <w:rFonts w:ascii="Times New Roman" w:hAnsi="Times New Roman" w:cs="Times New Roman"/>
          <w:color w:val="000000"/>
          <w:sz w:val="24"/>
          <w:szCs w:val="24"/>
        </w:rPr>
        <w:t>t</w:t>
      </w:r>
      <w:r>
        <w:rPr>
          <w:rFonts w:ascii="Times New Roman" w:hAnsi="Times New Roman" w:cs="Times New Roman"/>
          <w:color w:val="000000"/>
          <w:sz w:val="24"/>
          <w:szCs w:val="24"/>
        </w:rPr>
        <w:t xml:space="preserve">ing </w:t>
      </w:r>
      <w:hyperlink r:id="rId242" w:history="1">
        <w:r>
          <w:rPr>
            <w:rFonts w:ascii="Times New Roman" w:hAnsi="Times New Roman" w:cs="Times New Roman"/>
            <w:color w:val="0000FF"/>
            <w:sz w:val="24"/>
            <w:szCs w:val="24"/>
          </w:rPr>
          <w:t>21 U.S.C. § 343(f)</w:t>
        </w:r>
      </w:hyperlink>
      <w:r>
        <w:rPr>
          <w:rFonts w:ascii="Times New Roman" w:hAnsi="Times New Roman" w:cs="Times New Roman"/>
          <w:color w:val="000000"/>
          <w:sz w:val="24"/>
          <w:szCs w:val="24"/>
        </w:rPr>
        <w:t xml:space="preserve">, </w:t>
      </w:r>
      <w:hyperlink r:id="rId243" w:history="1">
        <w:r>
          <w:rPr>
            <w:rFonts w:ascii="Times New Roman" w:hAnsi="Times New Roman" w:cs="Times New Roman"/>
            <w:color w:val="0000FF"/>
            <w:sz w:val="24"/>
            <w:szCs w:val="24"/>
          </w:rPr>
          <w:t>(i)</w:t>
        </w:r>
      </w:hyperlink>
      <w:r>
        <w:rPr>
          <w:rFonts w:ascii="Times New Roman" w:hAnsi="Times New Roman" w:cs="Times New Roman"/>
          <w:color w:val="000000"/>
          <w:sz w:val="24"/>
          <w:szCs w:val="24"/>
        </w:rPr>
        <w:t xml:space="preserve"> and </w:t>
      </w:r>
      <w:hyperlink r:id="rId244" w:history="1">
        <w:r>
          <w:rPr>
            <w:rFonts w:ascii="Times New Roman" w:hAnsi="Times New Roman" w:cs="Times New Roman"/>
            <w:color w:val="0000FF"/>
            <w:sz w:val="24"/>
            <w:szCs w:val="24"/>
          </w:rPr>
          <w:t>21 C.F.R. § 102.33(c)</w:t>
        </w:r>
      </w:hyperlink>
      <w:r>
        <w:rPr>
          <w:rFonts w:ascii="Times New Roman" w:hAnsi="Times New Roman" w:cs="Times New Roman"/>
          <w:color w:val="000000"/>
          <w:sz w:val="24"/>
          <w:szCs w:val="24"/>
        </w:rPr>
        <w:t xml:space="preserve">, </w:t>
      </w:r>
      <w:hyperlink r:id="rId245" w:history="1">
        <w:r>
          <w:rPr>
            <w:rFonts w:ascii="Times New Roman" w:hAnsi="Times New Roman" w:cs="Times New Roman"/>
            <w:color w:val="0000FF"/>
            <w:sz w:val="24"/>
            <w:szCs w:val="24"/>
          </w:rPr>
          <w:t>(d)</w:t>
        </w:r>
      </w:hyperlink>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w:t>
      </w:r>
      <w:r>
        <w:rPr>
          <w:rFonts w:ascii="Times New Roman" w:hAnsi="Times New Roman" w:cs="Times New Roman"/>
          <w:color w:val="000000"/>
          <w:sz w:val="24"/>
          <w:szCs w:val="24"/>
        </w:rPr>
        <w:t>Congress and the FDA have thus considered and spoken to what content a label must bear, and the relevant sizes in which the label must bear it, so as not to deceive,</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but </w:t>
      </w:r>
      <w:r>
        <w:rPr>
          <w:rFonts w:ascii="Times New Roman" w:hAnsi="Times New Roman" w:cs="Times New Roman"/>
          <w:color w:val="000000"/>
          <w:sz w:val="24"/>
          <w:szCs w:val="24"/>
        </w:rPr>
        <w:t>“</w:t>
      </w:r>
      <w:r>
        <w:rPr>
          <w:rFonts w:ascii="Times New Roman" w:hAnsi="Times New Roman" w:cs="Times New Roman"/>
          <w:color w:val="000000"/>
          <w:sz w:val="24"/>
          <w:szCs w:val="24"/>
        </w:rPr>
        <w:t>ha[ve] not (so far as we can tell) required that all</w:t>
      </w:r>
      <w:r>
        <w:rPr>
          <w:rFonts w:ascii="Times New Roman" w:hAnsi="Times New Roman" w:cs="Times New Roman"/>
          <w:color w:val="000000"/>
          <w:sz w:val="24"/>
          <w:szCs w:val="24"/>
        </w:rPr>
        <w:t xml:space="preserve"> words in a juice blend's name appear on the label in the same size.</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Id.</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w:t>
      </w:r>
      <w:r>
        <w:rPr>
          <w:rFonts w:ascii="Times New Roman" w:hAnsi="Times New Roman" w:cs="Times New Roman"/>
          <w:color w:val="000000"/>
          <w:sz w:val="24"/>
          <w:szCs w:val="24"/>
        </w:rPr>
        <w:t>[I]f the FDA believes more should be done to prevent deception, or that [Coca-Cola's] label misleads consumers, it can act.</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Id.</w:t>
      </w:r>
      <w:r>
        <w:rPr>
          <w:rFonts w:ascii="Times New Roman" w:hAnsi="Times New Roman" w:cs="Times New Roman"/>
          <w:color w:val="000000"/>
          <w:sz w:val="24"/>
          <w:szCs w:val="24"/>
        </w:rPr>
        <w:t xml:space="preserve"> at 11.</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In the court of appeals' view, allowing Pom'</w:t>
      </w:r>
      <w:r>
        <w:rPr>
          <w:rFonts w:ascii="Times New Roman" w:hAnsi="Times New Roman" w:cs="Times New Roman"/>
          <w:color w:val="000000"/>
          <w:sz w:val="24"/>
          <w:szCs w:val="24"/>
        </w:rPr>
        <w:t xml:space="preserve">s Lanham Act challenge to Coca-Cola's label would </w:t>
      </w:r>
      <w:r>
        <w:rPr>
          <w:rFonts w:ascii="Times New Roman" w:hAnsi="Times New Roman" w:cs="Times New Roman"/>
          <w:color w:val="000000"/>
          <w:sz w:val="24"/>
          <w:szCs w:val="24"/>
        </w:rPr>
        <w:t>“</w:t>
      </w:r>
      <w:r>
        <w:rPr>
          <w:rFonts w:ascii="Times New Roman" w:hAnsi="Times New Roman" w:cs="Times New Roman"/>
          <w:color w:val="000000"/>
          <w:sz w:val="24"/>
          <w:szCs w:val="24"/>
        </w:rPr>
        <w:t>risk undercutting the FDA's expert judgments and authority.</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Pet. 9a-11a. The court did not want to contravene what it perceived to be </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Congress's decision to entrust matters of juice beverage labeling to </w:t>
      </w:r>
      <w:r>
        <w:rPr>
          <w:rFonts w:ascii="Times New Roman" w:hAnsi="Times New Roman" w:cs="Times New Roman"/>
          <w:color w:val="000000"/>
          <w:sz w:val="24"/>
          <w:szCs w:val="24"/>
        </w:rPr>
        <w:t>the FDA and *** the FDA's comprehensive regulation of that labeling.</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Id.</w:t>
      </w:r>
      <w:r>
        <w:rPr>
          <w:rFonts w:ascii="Times New Roman" w:hAnsi="Times New Roman" w:cs="Times New Roman"/>
          <w:color w:val="000000"/>
          <w:sz w:val="24"/>
          <w:szCs w:val="24"/>
        </w:rPr>
        <w:t xml:space="preserve"> at 12a.</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*16</w:t>
      </w:r>
      <w:r>
        <w:rPr>
          <w:rFonts w:ascii="Times New Roman" w:hAnsi="Times New Roman" w:cs="Times New Roman"/>
          <w:color w:val="000000"/>
          <w:sz w:val="24"/>
          <w:szCs w:val="24"/>
        </w:rPr>
        <w:t xml:space="preserve"> The court of appeals specifically emphasized that it was not </w:t>
      </w:r>
      <w:r>
        <w:rPr>
          <w:rFonts w:ascii="Times New Roman" w:hAnsi="Times New Roman" w:cs="Times New Roman"/>
          <w:color w:val="000000"/>
          <w:sz w:val="24"/>
          <w:szCs w:val="24"/>
        </w:rPr>
        <w:t>“</w:t>
      </w:r>
      <w:r>
        <w:rPr>
          <w:rFonts w:ascii="Times New Roman" w:hAnsi="Times New Roman" w:cs="Times New Roman"/>
          <w:color w:val="000000"/>
          <w:sz w:val="24"/>
          <w:szCs w:val="24"/>
        </w:rPr>
        <w:t>hold[ing] that [Coca-Cola's] label is non-deceptive,</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or that </w:t>
      </w:r>
      <w:r>
        <w:rPr>
          <w:rFonts w:ascii="Times New Roman" w:hAnsi="Times New Roman" w:cs="Times New Roman"/>
          <w:color w:val="000000"/>
          <w:sz w:val="24"/>
          <w:szCs w:val="24"/>
        </w:rPr>
        <w:t>“</w:t>
      </w:r>
      <w:r>
        <w:rPr>
          <w:rFonts w:ascii="Times New Roman" w:hAnsi="Times New Roman" w:cs="Times New Roman"/>
          <w:color w:val="000000"/>
          <w:sz w:val="24"/>
          <w:szCs w:val="24"/>
        </w:rPr>
        <w:t>mere compliance with the FDCA or with FDA re</w:t>
      </w:r>
      <w:r>
        <w:rPr>
          <w:rFonts w:ascii="Times New Roman" w:hAnsi="Times New Roman" w:cs="Times New Roman"/>
          <w:color w:val="000000"/>
          <w:sz w:val="24"/>
          <w:szCs w:val="24"/>
        </w:rPr>
        <w:t>gulations will always (or even generally) insulate a defendant from Lanham Act liability.</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Pet. App. 11a-12a.</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But in light of the court's otherwise sweeping reasoning, the latter caveat is toothless. The court stated that it was guided by what it understo</w:t>
      </w:r>
      <w:r>
        <w:rPr>
          <w:rFonts w:ascii="Times New Roman" w:hAnsi="Times New Roman" w:cs="Times New Roman"/>
          <w:color w:val="000000"/>
          <w:sz w:val="24"/>
          <w:szCs w:val="24"/>
        </w:rPr>
        <w:t xml:space="preserve">od to be </w:t>
      </w:r>
      <w:r>
        <w:rPr>
          <w:rFonts w:ascii="Times New Roman" w:hAnsi="Times New Roman" w:cs="Times New Roman"/>
          <w:color w:val="000000"/>
          <w:sz w:val="24"/>
          <w:szCs w:val="24"/>
        </w:rPr>
        <w:t>“</w:t>
      </w:r>
      <w:r>
        <w:rPr>
          <w:rFonts w:ascii="Times New Roman" w:hAnsi="Times New Roman" w:cs="Times New Roman"/>
          <w:color w:val="000000"/>
          <w:sz w:val="24"/>
          <w:szCs w:val="24"/>
        </w:rPr>
        <w:t>Congress's decision to entrust matters of juice beverage labeling to the FDA and by the FDA's comprehensive regulation of that labeling.</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Id.</w:t>
      </w:r>
      <w:r>
        <w:rPr>
          <w:rFonts w:ascii="Times New Roman" w:hAnsi="Times New Roman" w:cs="Times New Roman"/>
          <w:color w:val="000000"/>
          <w:sz w:val="24"/>
          <w:szCs w:val="24"/>
        </w:rPr>
        <w:t xml:space="preserve"> at 12a. From the perspective of market participants such as INTA's members, that reasoning would </w:t>
      </w:r>
      <w:r>
        <w:rPr>
          <w:rFonts w:ascii="Times New Roman" w:hAnsi="Times New Roman" w:cs="Times New Roman"/>
          <w:color w:val="000000"/>
          <w:sz w:val="24"/>
          <w:szCs w:val="24"/>
        </w:rPr>
        <w:t>“</w:t>
      </w:r>
      <w:r>
        <w:rPr>
          <w:rFonts w:ascii="Times New Roman" w:hAnsi="Times New Roman" w:cs="Times New Roman"/>
          <w:color w:val="000000"/>
          <w:sz w:val="24"/>
          <w:szCs w:val="24"/>
        </w:rPr>
        <w:t>insula</w:t>
      </w:r>
      <w:r>
        <w:rPr>
          <w:rFonts w:ascii="Times New Roman" w:hAnsi="Times New Roman" w:cs="Times New Roman"/>
          <w:color w:val="000000"/>
          <w:sz w:val="24"/>
          <w:szCs w:val="24"/>
        </w:rPr>
        <w:t>te a defendant from Lanham Act liability,</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Pet. App. 12a, in essentially every i</w:t>
      </w:r>
      <w:r>
        <w:rPr>
          <w:rFonts w:ascii="Times New Roman" w:hAnsi="Times New Roman" w:cs="Times New Roman"/>
          <w:color w:val="000000"/>
          <w:sz w:val="24"/>
          <w:szCs w:val="24"/>
        </w:rPr>
        <w:t>n</w:t>
      </w:r>
      <w:r>
        <w:rPr>
          <w:rFonts w:ascii="Times New Roman" w:hAnsi="Times New Roman" w:cs="Times New Roman"/>
          <w:color w:val="000000"/>
          <w:sz w:val="24"/>
          <w:szCs w:val="24"/>
        </w:rPr>
        <w:t>stance of juice labeling as well as labeling of most other products the FDA regulates. If the FDA's juice regulations at issue here - which the parties agree only permitted, b</w:t>
      </w:r>
      <w:r>
        <w:rPr>
          <w:rFonts w:ascii="Times New Roman" w:hAnsi="Times New Roman" w:cs="Times New Roman"/>
          <w:color w:val="000000"/>
          <w:sz w:val="24"/>
          <w:szCs w:val="24"/>
        </w:rPr>
        <w:t>ut did not require, C</w:t>
      </w:r>
      <w:r>
        <w:rPr>
          <w:rFonts w:ascii="Times New Roman" w:hAnsi="Times New Roman" w:cs="Times New Roman"/>
          <w:color w:val="000000"/>
          <w:sz w:val="24"/>
          <w:szCs w:val="24"/>
        </w:rPr>
        <w:t>o</w:t>
      </w:r>
      <w:r>
        <w:rPr>
          <w:rFonts w:ascii="Times New Roman" w:hAnsi="Times New Roman" w:cs="Times New Roman"/>
          <w:color w:val="000000"/>
          <w:sz w:val="24"/>
          <w:szCs w:val="24"/>
        </w:rPr>
        <w:t xml:space="preserve">ca-Cola's labeling - are </w:t>
      </w:r>
      <w:r>
        <w:rPr>
          <w:rFonts w:ascii="Times New Roman" w:hAnsi="Times New Roman" w:cs="Times New Roman"/>
          <w:color w:val="000000"/>
          <w:sz w:val="24"/>
          <w:szCs w:val="24"/>
        </w:rPr>
        <w:t>“</w:t>
      </w:r>
      <w:r>
        <w:rPr>
          <w:rFonts w:ascii="Times New Roman" w:hAnsi="Times New Roman" w:cs="Times New Roman"/>
          <w:color w:val="000000"/>
          <w:sz w:val="24"/>
          <w:szCs w:val="24"/>
        </w:rPr>
        <w:t>comprehensive regulation</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of labeling, then there is a risk that nearly anytime the FDA regulates an aspect of a product with some degree of specificity, then FDA's regulation may be deemed </w:t>
      </w:r>
      <w:r>
        <w:rPr>
          <w:rFonts w:ascii="Times New Roman" w:hAnsi="Times New Roman" w:cs="Times New Roman"/>
          <w:color w:val="000000"/>
          <w:sz w:val="24"/>
          <w:szCs w:val="24"/>
        </w:rPr>
        <w:t>“</w:t>
      </w:r>
      <w:r>
        <w:rPr>
          <w:rFonts w:ascii="Times New Roman" w:hAnsi="Times New Roman" w:cs="Times New Roman"/>
          <w:color w:val="000000"/>
          <w:sz w:val="24"/>
          <w:szCs w:val="24"/>
        </w:rPr>
        <w:t>comprehensive</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en</w:t>
      </w:r>
      <w:r>
        <w:rPr>
          <w:rFonts w:ascii="Times New Roman" w:hAnsi="Times New Roman" w:cs="Times New Roman"/>
          <w:color w:val="000000"/>
          <w:sz w:val="24"/>
          <w:szCs w:val="24"/>
        </w:rPr>
        <w:t>ough to preclude a Lanham Act suit.</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The United States also argues that the court of appeals' </w:t>
      </w:r>
      <w:r>
        <w:rPr>
          <w:rFonts w:ascii="Times New Roman" w:hAnsi="Times New Roman" w:cs="Times New Roman"/>
          <w:color w:val="000000"/>
          <w:sz w:val="24"/>
          <w:szCs w:val="24"/>
        </w:rPr>
        <w:t>“</w:t>
      </w:r>
      <w:r>
        <w:rPr>
          <w:rFonts w:ascii="Times New Roman" w:hAnsi="Times New Roman" w:cs="Times New Roman"/>
          <w:color w:val="000000"/>
          <w:sz w:val="24"/>
          <w:szCs w:val="24"/>
        </w:rPr>
        <w:t>reasoning is too broad.</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See</w:t>
      </w:r>
      <w:r>
        <w:rPr>
          <w:rFonts w:ascii="Times New Roman" w:hAnsi="Times New Roman" w:cs="Times New Roman"/>
          <w:color w:val="000000"/>
          <w:sz w:val="24"/>
          <w:szCs w:val="24"/>
        </w:rPr>
        <w:t xml:space="preserve"> U.S. Amicus Br. 10-15. In the government's view, the court of appeals should have permitted Pom's Lanham Act challenge insofar as it</w:t>
      </w:r>
      <w:r>
        <w:rPr>
          <w:rFonts w:ascii="Times New Roman" w:hAnsi="Times New Roman" w:cs="Times New Roman"/>
          <w:color w:val="000000"/>
          <w:sz w:val="24"/>
          <w:szCs w:val="24"/>
        </w:rPr>
        <w:t xml:space="preserve"> concerns features of the juice's label that are not specifically addressed by the FDCA or the FDA's regulations. U.S. Amicus Br. 8. The Ninth Circuit's observation that the FDA had not, but could have, regulated the aspects of the label to </w:t>
      </w:r>
      <w:r>
        <w:rPr>
          <w:rFonts w:ascii="Times New Roman" w:hAnsi="Times New Roman" w:cs="Times New Roman"/>
          <w:b/>
          <w:bCs/>
          <w:color w:val="000000"/>
          <w:sz w:val="24"/>
          <w:szCs w:val="24"/>
        </w:rPr>
        <w:t>*17</w:t>
      </w:r>
      <w:r>
        <w:rPr>
          <w:rFonts w:ascii="Times New Roman" w:hAnsi="Times New Roman" w:cs="Times New Roman"/>
          <w:color w:val="000000"/>
          <w:sz w:val="24"/>
          <w:szCs w:val="24"/>
        </w:rPr>
        <w:t xml:space="preserve"> which Pom objected </w:t>
      </w:r>
      <w:r>
        <w:rPr>
          <w:rFonts w:ascii="Times New Roman" w:hAnsi="Times New Roman" w:cs="Times New Roman"/>
          <w:color w:val="000000"/>
          <w:sz w:val="24"/>
          <w:szCs w:val="24"/>
        </w:rPr>
        <w:t>“</w:t>
      </w:r>
      <w:r>
        <w:rPr>
          <w:rFonts w:ascii="Times New Roman" w:hAnsi="Times New Roman" w:cs="Times New Roman"/>
          <w:color w:val="000000"/>
          <w:sz w:val="24"/>
          <w:szCs w:val="24"/>
        </w:rPr>
        <w:t>e</w:t>
      </w:r>
      <w:r>
        <w:rPr>
          <w:rFonts w:ascii="Times New Roman" w:hAnsi="Times New Roman" w:cs="Times New Roman"/>
          <w:color w:val="000000"/>
          <w:sz w:val="24"/>
          <w:szCs w:val="24"/>
        </w:rPr>
        <w:t>n</w:t>
      </w:r>
      <w:r>
        <w:rPr>
          <w:rFonts w:ascii="Times New Roman" w:hAnsi="Times New Roman" w:cs="Times New Roman"/>
          <w:color w:val="000000"/>
          <w:sz w:val="24"/>
          <w:szCs w:val="24"/>
        </w:rPr>
        <w:t>dowed the FDCA's food labeling provisions with too broad a preclusive reach.</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Id.</w:t>
      </w:r>
      <w:r>
        <w:rPr>
          <w:rFonts w:ascii="Times New Roman" w:hAnsi="Times New Roman" w:cs="Times New Roman"/>
          <w:color w:val="000000"/>
          <w:sz w:val="24"/>
          <w:szCs w:val="24"/>
        </w:rPr>
        <w:t xml:space="preserve"> The mere e</w:t>
      </w:r>
      <w:r>
        <w:rPr>
          <w:rFonts w:ascii="Times New Roman" w:hAnsi="Times New Roman" w:cs="Times New Roman"/>
          <w:color w:val="000000"/>
          <w:sz w:val="24"/>
          <w:szCs w:val="24"/>
        </w:rPr>
        <w:t>x</w:t>
      </w:r>
      <w:r>
        <w:rPr>
          <w:rFonts w:ascii="Times New Roman" w:hAnsi="Times New Roman" w:cs="Times New Roman"/>
          <w:color w:val="000000"/>
          <w:sz w:val="24"/>
          <w:szCs w:val="24"/>
        </w:rPr>
        <w:t>istence of a federal regulatory or enforcement scheme does not create a conflict between federal statutes. To hold otherwise, the government</w:t>
      </w:r>
      <w:r>
        <w:rPr>
          <w:rFonts w:ascii="Times New Roman" w:hAnsi="Times New Roman" w:cs="Times New Roman"/>
          <w:color w:val="000000"/>
          <w:sz w:val="24"/>
          <w:szCs w:val="24"/>
        </w:rPr>
        <w:t xml:space="preserve"> correctly argues, would be </w:t>
      </w:r>
      <w:r>
        <w:rPr>
          <w:rFonts w:ascii="Times New Roman" w:hAnsi="Times New Roman" w:cs="Times New Roman"/>
          <w:color w:val="000000"/>
          <w:sz w:val="24"/>
          <w:szCs w:val="24"/>
        </w:rPr>
        <w:t>“</w:t>
      </w:r>
      <w:r>
        <w:rPr>
          <w:rFonts w:ascii="Times New Roman" w:hAnsi="Times New Roman" w:cs="Times New Roman"/>
          <w:color w:val="000000"/>
          <w:sz w:val="24"/>
          <w:szCs w:val="24"/>
        </w:rPr>
        <w:t>tantamount to saying that whenever a federal agency decides to step into a field, its regulations will be exclusive.</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U.S. Amicus Br. 11 (quoting </w:t>
      </w:r>
      <w:hyperlink r:id="rId246" w:history="1">
        <w:r>
          <w:rPr>
            <w:rFonts w:ascii="Times New Roman" w:hAnsi="Times New Roman" w:cs="Times New Roman"/>
            <w:i/>
            <w:iCs/>
            <w:color w:val="0000FF"/>
            <w:sz w:val="24"/>
            <w:szCs w:val="24"/>
          </w:rPr>
          <w:t>Hillsborough Cnty. v. Automated Med. Labs., Inc.,</w:t>
        </w:r>
      </w:hyperlink>
      <w:hyperlink r:id="rId247" w:history="1">
        <w:r>
          <w:rPr>
            <w:rFonts w:ascii="Times New Roman" w:hAnsi="Times New Roman" w:cs="Times New Roman"/>
            <w:color w:val="0000FF"/>
            <w:sz w:val="24"/>
            <w:szCs w:val="24"/>
          </w:rPr>
          <w:t xml:space="preserve"> 471 U.S. 707, 717 (1985)</w:t>
        </w:r>
      </w:hyperlink>
      <w:r>
        <w:rPr>
          <w:rFonts w:ascii="Times New Roman" w:hAnsi="Times New Roman" w:cs="Times New Roman"/>
          <w:color w:val="000000"/>
          <w:sz w:val="24"/>
          <w:szCs w:val="24"/>
        </w:rPr>
        <w:t xml:space="preserve">). The Ninth Circuit was too quick to regard the commitment of authority to the FDA as exclusive. </w:t>
      </w:r>
      <w:r>
        <w:rPr>
          <w:rFonts w:ascii="Times New Roman" w:hAnsi="Times New Roman" w:cs="Times New Roman"/>
          <w:i/>
          <w:iCs/>
          <w:color w:val="000000"/>
          <w:sz w:val="24"/>
          <w:szCs w:val="24"/>
        </w:rPr>
        <w:t>Id.</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Furthermore, the Ninth Circuit's reasoning conflicts with other circuit courts that have rejected </w:t>
      </w:r>
      <w:r>
        <w:rPr>
          <w:rFonts w:ascii="Times New Roman" w:hAnsi="Times New Roman" w:cs="Times New Roman"/>
          <w:color w:val="000000"/>
          <w:sz w:val="24"/>
          <w:szCs w:val="24"/>
        </w:rPr>
        <w:t xml:space="preserve">similarly overbroad preclusion of Lanham Act claims. In </w:t>
      </w:r>
      <w:hyperlink r:id="rId248" w:history="1">
        <w:r>
          <w:rPr>
            <w:rFonts w:ascii="Times New Roman" w:hAnsi="Times New Roman" w:cs="Times New Roman"/>
            <w:i/>
            <w:iCs/>
            <w:color w:val="0000FF"/>
            <w:sz w:val="24"/>
            <w:szCs w:val="24"/>
          </w:rPr>
          <w:t>Cottrell, Ltd. v. Biotrol Int'l, Inc.,</w:t>
        </w:r>
      </w:hyperlink>
      <w:hyperlink r:id="rId249" w:history="1">
        <w:r>
          <w:rPr>
            <w:rFonts w:ascii="Times New Roman" w:hAnsi="Times New Roman" w:cs="Times New Roman"/>
            <w:color w:val="0000FF"/>
            <w:sz w:val="24"/>
            <w:szCs w:val="24"/>
          </w:rPr>
          <w:t xml:space="preserve"> 191 F.3d 1248 (10th Cir. 1999)</w:t>
        </w:r>
      </w:hyperlink>
      <w:r>
        <w:rPr>
          <w:rFonts w:ascii="Times New Roman" w:hAnsi="Times New Roman" w:cs="Times New Roman"/>
          <w:color w:val="000000"/>
          <w:sz w:val="24"/>
          <w:szCs w:val="24"/>
        </w:rPr>
        <w:t xml:space="preserve">, the Tenth Circuit approved of the general view that </w:t>
      </w:r>
      <w:r>
        <w:rPr>
          <w:rFonts w:ascii="Times New Roman" w:hAnsi="Times New Roman" w:cs="Times New Roman"/>
          <w:color w:val="000000"/>
          <w:sz w:val="24"/>
          <w:szCs w:val="24"/>
        </w:rPr>
        <w:t>“</w:t>
      </w:r>
      <w:r>
        <w:rPr>
          <w:rFonts w:ascii="Times New Roman" w:hAnsi="Times New Roman" w:cs="Times New Roman"/>
          <w:color w:val="000000"/>
          <w:sz w:val="24"/>
          <w:szCs w:val="24"/>
        </w:rPr>
        <w:t>[a]ffirmative misrepresentations *** are generally actionable under the Lanham Act, even if the product is</w:t>
      </w:r>
      <w:r>
        <w:rPr>
          <w:rFonts w:ascii="Times New Roman" w:hAnsi="Times New Roman" w:cs="Times New Roman"/>
          <w:color w:val="000000"/>
          <w:sz w:val="24"/>
          <w:szCs w:val="24"/>
        </w:rPr>
        <w:t xml:space="preserve"> regulated by the FDA,</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hyperlink r:id="rId250" w:history="1">
        <w:r>
          <w:rPr>
            <w:rFonts w:ascii="Times New Roman" w:hAnsi="Times New Roman" w:cs="Times New Roman"/>
            <w:i/>
            <w:iCs/>
            <w:color w:val="0000FF"/>
            <w:sz w:val="24"/>
            <w:szCs w:val="24"/>
          </w:rPr>
          <w:t>id.</w:t>
        </w:r>
      </w:hyperlink>
      <w:hyperlink r:id="rId251" w:history="1">
        <w:r>
          <w:rPr>
            <w:rFonts w:ascii="Times New Roman" w:hAnsi="Times New Roman" w:cs="Times New Roman"/>
            <w:color w:val="0000FF"/>
            <w:sz w:val="24"/>
            <w:szCs w:val="24"/>
          </w:rPr>
          <w:t xml:space="preserve"> at 1254</w:t>
        </w:r>
      </w:hyperlink>
      <w:r>
        <w:rPr>
          <w:rFonts w:ascii="Times New Roman" w:hAnsi="Times New Roman" w:cs="Times New Roman"/>
          <w:color w:val="000000"/>
          <w:sz w:val="24"/>
          <w:szCs w:val="24"/>
        </w:rPr>
        <w:t xml:space="preserve"> (internal citation and quotation omitted), and recognized the difference between a Lanham Act plaintiff's impermissible </w:t>
      </w:r>
      <w:r>
        <w:rPr>
          <w:rFonts w:ascii="Times New Roman" w:hAnsi="Times New Roman" w:cs="Times New Roman"/>
          <w:color w:val="000000"/>
          <w:sz w:val="24"/>
          <w:szCs w:val="24"/>
        </w:rPr>
        <w:t>“</w:t>
      </w:r>
      <w:r>
        <w:rPr>
          <w:rFonts w:ascii="Times New Roman" w:hAnsi="Times New Roman" w:cs="Times New Roman"/>
          <w:color w:val="000000"/>
          <w:sz w:val="24"/>
          <w:szCs w:val="24"/>
        </w:rPr>
        <w:t>attempt[ ] to enforce</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federal reg</w:t>
      </w:r>
      <w:r>
        <w:rPr>
          <w:rFonts w:ascii="Times New Roman" w:hAnsi="Times New Roman" w:cs="Times New Roman"/>
          <w:color w:val="000000"/>
          <w:sz w:val="24"/>
          <w:szCs w:val="24"/>
        </w:rPr>
        <w:t>u</w:t>
      </w:r>
      <w:r>
        <w:rPr>
          <w:rFonts w:ascii="Times New Roman" w:hAnsi="Times New Roman" w:cs="Times New Roman"/>
          <w:color w:val="000000"/>
          <w:sz w:val="24"/>
          <w:szCs w:val="24"/>
        </w:rPr>
        <w:t xml:space="preserve">lations and </w:t>
      </w:r>
      <w:r>
        <w:rPr>
          <w:rFonts w:ascii="Times New Roman" w:hAnsi="Times New Roman" w:cs="Times New Roman"/>
          <w:color w:val="000000"/>
          <w:sz w:val="24"/>
          <w:szCs w:val="24"/>
        </w:rPr>
        <w:t>“</w:t>
      </w:r>
      <w:r>
        <w:rPr>
          <w:rFonts w:ascii="Times New Roman" w:hAnsi="Times New Roman" w:cs="Times New Roman"/>
          <w:color w:val="000000"/>
          <w:sz w:val="24"/>
          <w:szCs w:val="24"/>
        </w:rPr>
        <w:t>vindicat[ing] its rights under the Lanham Act independent of the regulation.</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hyperlink r:id="rId252" w:history="1">
        <w:r>
          <w:rPr>
            <w:rFonts w:ascii="Times New Roman" w:hAnsi="Times New Roman" w:cs="Times New Roman"/>
            <w:i/>
            <w:iCs/>
            <w:color w:val="0000FF"/>
            <w:sz w:val="24"/>
            <w:szCs w:val="24"/>
          </w:rPr>
          <w:t>Id.</w:t>
        </w:r>
      </w:hyperlink>
      <w:hyperlink r:id="rId253" w:history="1">
        <w:r>
          <w:rPr>
            <w:rFonts w:ascii="Times New Roman" w:hAnsi="Times New Roman" w:cs="Times New Roman"/>
            <w:color w:val="0000FF"/>
            <w:sz w:val="24"/>
            <w:szCs w:val="24"/>
          </w:rPr>
          <w:t xml:space="preserve"> at 1254</w:t>
        </w:r>
      </w:hyperlink>
      <w:r>
        <w:rPr>
          <w:rFonts w:ascii="Times New Roman" w:hAnsi="Times New Roman" w:cs="Times New Roman"/>
          <w:color w:val="000000"/>
          <w:sz w:val="24"/>
          <w:szCs w:val="24"/>
        </w:rPr>
        <w:t>. The court rejected the view (indistinguishable from the Ninth Circuit's) that a Lanham A</w:t>
      </w:r>
      <w:r>
        <w:rPr>
          <w:rFonts w:ascii="Times New Roman" w:hAnsi="Times New Roman" w:cs="Times New Roman"/>
          <w:color w:val="000000"/>
          <w:sz w:val="24"/>
          <w:szCs w:val="24"/>
        </w:rPr>
        <w:t xml:space="preserve">ct claim must be dismissed because it </w:t>
      </w:r>
      <w:r>
        <w:rPr>
          <w:rFonts w:ascii="Times New Roman" w:hAnsi="Times New Roman" w:cs="Times New Roman"/>
          <w:color w:val="000000"/>
          <w:sz w:val="24"/>
          <w:szCs w:val="24"/>
        </w:rPr>
        <w:t>“</w:t>
      </w:r>
      <w:r>
        <w:rPr>
          <w:rFonts w:ascii="Times New Roman" w:hAnsi="Times New Roman" w:cs="Times New Roman"/>
          <w:color w:val="000000"/>
          <w:sz w:val="24"/>
          <w:szCs w:val="24"/>
        </w:rPr>
        <w:t>touches on issues</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covered by federal regulatory authority, </w:t>
      </w:r>
      <w:hyperlink r:id="rId254" w:history="1">
        <w:r>
          <w:rPr>
            <w:rFonts w:ascii="Times New Roman" w:hAnsi="Times New Roman" w:cs="Times New Roman"/>
            <w:i/>
            <w:iCs/>
            <w:color w:val="0000FF"/>
            <w:sz w:val="24"/>
            <w:szCs w:val="24"/>
          </w:rPr>
          <w:t>id.</w:t>
        </w:r>
      </w:hyperlink>
      <w:hyperlink r:id="rId255" w:history="1">
        <w:r>
          <w:rPr>
            <w:rFonts w:ascii="Times New Roman" w:hAnsi="Times New Roman" w:cs="Times New Roman"/>
            <w:color w:val="0000FF"/>
            <w:sz w:val="24"/>
            <w:szCs w:val="24"/>
          </w:rPr>
          <w:t xml:space="preserve"> at 1256</w:t>
        </w:r>
      </w:hyperlink>
      <w:r>
        <w:rPr>
          <w:rFonts w:ascii="Times New Roman" w:hAnsi="Times New Roman" w:cs="Times New Roman"/>
          <w:color w:val="000000"/>
          <w:sz w:val="24"/>
          <w:szCs w:val="24"/>
        </w:rPr>
        <w:t>, and refused to preclude the Lanham Act claim where (like here) the agency's auth</w:t>
      </w:r>
      <w:r>
        <w:rPr>
          <w:rFonts w:ascii="Times New Roman" w:hAnsi="Times New Roman" w:cs="Times New Roman"/>
          <w:color w:val="000000"/>
          <w:sz w:val="24"/>
          <w:szCs w:val="24"/>
        </w:rPr>
        <w:t xml:space="preserve">ority </w:t>
      </w:r>
      <w:r>
        <w:rPr>
          <w:rFonts w:ascii="Times New Roman" w:hAnsi="Times New Roman" w:cs="Times New Roman"/>
          <w:color w:val="000000"/>
          <w:sz w:val="24"/>
          <w:szCs w:val="24"/>
        </w:rPr>
        <w:t>“</w:t>
      </w:r>
      <w:r>
        <w:rPr>
          <w:rFonts w:ascii="Times New Roman" w:hAnsi="Times New Roman" w:cs="Times New Roman"/>
          <w:color w:val="000000"/>
          <w:sz w:val="24"/>
          <w:szCs w:val="24"/>
        </w:rPr>
        <w:t>nowhere explicitly precludes Lanham Act coverage.</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hyperlink r:id="rId256" w:history="1">
        <w:r>
          <w:rPr>
            <w:rFonts w:ascii="Times New Roman" w:hAnsi="Times New Roman" w:cs="Times New Roman"/>
            <w:i/>
            <w:iCs/>
            <w:color w:val="0000FF"/>
            <w:sz w:val="24"/>
            <w:szCs w:val="24"/>
          </w:rPr>
          <w:t>Id.</w:t>
        </w:r>
      </w:hyperlink>
      <w:hyperlink r:id="rId257" w:history="1">
        <w:r>
          <w:rPr>
            <w:rFonts w:ascii="Times New Roman" w:hAnsi="Times New Roman" w:cs="Times New Roman"/>
            <w:color w:val="0000FF"/>
            <w:sz w:val="24"/>
            <w:szCs w:val="24"/>
          </w:rPr>
          <w:t xml:space="preserve"> at 1256</w:t>
        </w:r>
      </w:hyperlink>
      <w:r>
        <w:rPr>
          <w:rFonts w:ascii="Times New Roman" w:hAnsi="Times New Roman" w:cs="Times New Roman"/>
          <w:color w:val="000000"/>
          <w:sz w:val="24"/>
          <w:szCs w:val="24"/>
        </w:rPr>
        <w:t>.</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*18</w:t>
      </w:r>
      <w:r>
        <w:rPr>
          <w:rFonts w:ascii="Times New Roman" w:hAnsi="Times New Roman" w:cs="Times New Roman"/>
          <w:color w:val="000000"/>
          <w:sz w:val="24"/>
          <w:szCs w:val="24"/>
        </w:rPr>
        <w:t xml:space="preserve"> Similarly, the Third Circuit permitted a Lanham Act false advertising claim to proceed no</w:t>
      </w:r>
      <w:r>
        <w:rPr>
          <w:rFonts w:ascii="Times New Roman" w:hAnsi="Times New Roman" w:cs="Times New Roman"/>
          <w:color w:val="000000"/>
          <w:sz w:val="24"/>
          <w:szCs w:val="24"/>
        </w:rPr>
        <w:t>t</w:t>
      </w:r>
      <w:r>
        <w:rPr>
          <w:rFonts w:ascii="Times New Roman" w:hAnsi="Times New Roman" w:cs="Times New Roman"/>
          <w:color w:val="000000"/>
          <w:sz w:val="24"/>
          <w:szCs w:val="24"/>
        </w:rPr>
        <w:t>withstanding the FDA's aut</w:t>
      </w:r>
      <w:r>
        <w:rPr>
          <w:rFonts w:ascii="Times New Roman" w:hAnsi="Times New Roman" w:cs="Times New Roman"/>
          <w:color w:val="000000"/>
          <w:sz w:val="24"/>
          <w:szCs w:val="24"/>
        </w:rPr>
        <w:t xml:space="preserve">hority to regulate the advertising at issue, </w:t>
      </w:r>
      <w:hyperlink r:id="rId258" w:history="1">
        <w:r>
          <w:rPr>
            <w:rFonts w:ascii="Times New Roman" w:hAnsi="Times New Roman" w:cs="Times New Roman"/>
            <w:i/>
            <w:iCs/>
            <w:color w:val="0000FF"/>
            <w:sz w:val="24"/>
            <w:szCs w:val="24"/>
          </w:rPr>
          <w:t>Sandoz,</w:t>
        </w:r>
      </w:hyperlink>
      <w:hyperlink r:id="rId259" w:history="1">
        <w:r>
          <w:rPr>
            <w:rFonts w:ascii="Times New Roman" w:hAnsi="Times New Roman" w:cs="Times New Roman"/>
            <w:color w:val="0000FF"/>
            <w:sz w:val="24"/>
            <w:szCs w:val="24"/>
          </w:rPr>
          <w:t xml:space="preserve"> 902 F.2d at 228-29</w:t>
        </w:r>
      </w:hyperlink>
      <w:r>
        <w:rPr>
          <w:rFonts w:ascii="Times New Roman" w:hAnsi="Times New Roman" w:cs="Times New Roman"/>
          <w:color w:val="000000"/>
          <w:sz w:val="24"/>
          <w:szCs w:val="24"/>
        </w:rPr>
        <w:t xml:space="preserve">, but barred a claim based on defendant's alleged violation of an FDCA provision that would have required the court to </w:t>
      </w:r>
      <w:r>
        <w:rPr>
          <w:rFonts w:ascii="Times New Roman" w:hAnsi="Times New Roman" w:cs="Times New Roman"/>
          <w:color w:val="000000"/>
          <w:sz w:val="24"/>
          <w:szCs w:val="24"/>
        </w:rPr>
        <w:t>“</w:t>
      </w:r>
      <w:r>
        <w:rPr>
          <w:rFonts w:ascii="Times New Roman" w:hAnsi="Times New Roman" w:cs="Times New Roman"/>
          <w:color w:val="000000"/>
          <w:sz w:val="24"/>
          <w:szCs w:val="24"/>
        </w:rPr>
        <w:t>det</w:t>
      </w:r>
      <w:r>
        <w:rPr>
          <w:rFonts w:ascii="Times New Roman" w:hAnsi="Times New Roman" w:cs="Times New Roman"/>
          <w:color w:val="000000"/>
          <w:sz w:val="24"/>
          <w:szCs w:val="24"/>
        </w:rPr>
        <w:t>ermine preemptively</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how the FDA would </w:t>
      </w:r>
      <w:r>
        <w:rPr>
          <w:rFonts w:ascii="Times New Roman" w:hAnsi="Times New Roman" w:cs="Times New Roman"/>
          <w:color w:val="000000"/>
          <w:sz w:val="24"/>
          <w:szCs w:val="24"/>
        </w:rPr>
        <w:t>“</w:t>
      </w:r>
      <w:r>
        <w:rPr>
          <w:rFonts w:ascii="Times New Roman" w:hAnsi="Times New Roman" w:cs="Times New Roman"/>
          <w:color w:val="000000"/>
          <w:sz w:val="24"/>
          <w:szCs w:val="24"/>
        </w:rPr>
        <w:t>interpret and enforce its own regulations,</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hyperlink r:id="rId260" w:history="1">
        <w:r>
          <w:rPr>
            <w:rFonts w:ascii="Times New Roman" w:hAnsi="Times New Roman" w:cs="Times New Roman"/>
            <w:i/>
            <w:iCs/>
            <w:color w:val="0000FF"/>
            <w:sz w:val="24"/>
            <w:szCs w:val="24"/>
          </w:rPr>
          <w:t>id.</w:t>
        </w:r>
      </w:hyperlink>
      <w:hyperlink r:id="rId261" w:history="1">
        <w:r>
          <w:rPr>
            <w:rFonts w:ascii="Times New Roman" w:hAnsi="Times New Roman" w:cs="Times New Roman"/>
            <w:color w:val="0000FF"/>
            <w:sz w:val="24"/>
            <w:szCs w:val="24"/>
          </w:rPr>
          <w:t xml:space="preserve"> at 231</w:t>
        </w:r>
      </w:hyperlink>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 xml:space="preserve">See also </w:t>
      </w:r>
      <w:hyperlink r:id="rId262" w:history="1">
        <w:r>
          <w:rPr>
            <w:rFonts w:ascii="Times New Roman" w:hAnsi="Times New Roman" w:cs="Times New Roman"/>
            <w:i/>
            <w:iCs/>
            <w:color w:val="0000FF"/>
            <w:sz w:val="24"/>
            <w:szCs w:val="24"/>
          </w:rPr>
          <w:t>Alpharma,</w:t>
        </w:r>
      </w:hyperlink>
      <w:hyperlink r:id="rId263" w:history="1">
        <w:r>
          <w:rPr>
            <w:rFonts w:ascii="Times New Roman" w:hAnsi="Times New Roman" w:cs="Times New Roman"/>
            <w:color w:val="0000FF"/>
            <w:sz w:val="24"/>
            <w:szCs w:val="24"/>
          </w:rPr>
          <w:t xml:space="preserve"> 411 F.3d at 940-41</w:t>
        </w:r>
      </w:hyperlink>
      <w:r>
        <w:rPr>
          <w:rFonts w:ascii="Times New Roman" w:hAnsi="Times New Roman" w:cs="Times New Roman"/>
          <w:color w:val="000000"/>
          <w:sz w:val="24"/>
          <w:szCs w:val="24"/>
        </w:rPr>
        <w:t xml:space="preserve"> (refusing to preclude Lanham Act claim that did not require a determination by the court of how the FDA would interpret and enforce its own regulations).</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The court of appeals' overbroad interpretation of the FDCA's preclusive effect is erroneous, and sh</w:t>
      </w:r>
      <w:r>
        <w:rPr>
          <w:rFonts w:ascii="Times New Roman" w:hAnsi="Times New Roman" w:cs="Times New Roman"/>
          <w:color w:val="000000"/>
          <w:sz w:val="24"/>
          <w:szCs w:val="24"/>
        </w:rPr>
        <w:t xml:space="preserve">ould be reversed. Section 43(a) of the Lanham Act and the FDCA's </w:t>
      </w:r>
      <w:r>
        <w:rPr>
          <w:rFonts w:ascii="Times New Roman" w:hAnsi="Times New Roman" w:cs="Times New Roman"/>
          <w:color w:val="000000"/>
          <w:sz w:val="24"/>
          <w:szCs w:val="24"/>
        </w:rPr>
        <w:t>“</w:t>
      </w:r>
      <w:r>
        <w:rPr>
          <w:rFonts w:ascii="Times New Roman" w:hAnsi="Times New Roman" w:cs="Times New Roman"/>
          <w:color w:val="000000"/>
          <w:sz w:val="24"/>
          <w:szCs w:val="24"/>
        </w:rPr>
        <w:t>misbranding</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regulations have no conflict, much less an </w:t>
      </w:r>
      <w:r>
        <w:rPr>
          <w:rFonts w:ascii="Times New Roman" w:hAnsi="Times New Roman" w:cs="Times New Roman"/>
          <w:color w:val="000000"/>
          <w:sz w:val="24"/>
          <w:szCs w:val="24"/>
        </w:rPr>
        <w:t>“</w:t>
      </w:r>
      <w:r>
        <w:rPr>
          <w:rFonts w:ascii="Times New Roman" w:hAnsi="Times New Roman" w:cs="Times New Roman"/>
          <w:color w:val="000000"/>
          <w:sz w:val="24"/>
          <w:szCs w:val="24"/>
        </w:rPr>
        <w:t>irreconcilable</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conflict, and the statutes are </w:t>
      </w:r>
      <w:r>
        <w:rPr>
          <w:rFonts w:ascii="Times New Roman" w:hAnsi="Times New Roman" w:cs="Times New Roman"/>
          <w:color w:val="000000"/>
          <w:sz w:val="24"/>
          <w:szCs w:val="24"/>
        </w:rPr>
        <w:t>“</w:t>
      </w:r>
      <w:r>
        <w:rPr>
          <w:rFonts w:ascii="Times New Roman" w:hAnsi="Times New Roman" w:cs="Times New Roman"/>
          <w:color w:val="000000"/>
          <w:sz w:val="24"/>
          <w:szCs w:val="24"/>
        </w:rPr>
        <w:t>fully capable of coexisting,</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hyperlink r:id="rId264" w:history="1">
        <w:r>
          <w:rPr>
            <w:rFonts w:ascii="Times New Roman" w:hAnsi="Times New Roman" w:cs="Times New Roman"/>
            <w:i/>
            <w:iCs/>
            <w:color w:val="0000FF"/>
            <w:sz w:val="24"/>
            <w:szCs w:val="24"/>
          </w:rPr>
          <w:t>Batchelder,</w:t>
        </w:r>
      </w:hyperlink>
      <w:hyperlink r:id="rId265" w:history="1">
        <w:r>
          <w:rPr>
            <w:rFonts w:ascii="Times New Roman" w:hAnsi="Times New Roman" w:cs="Times New Roman"/>
            <w:color w:val="0000FF"/>
            <w:sz w:val="24"/>
            <w:szCs w:val="24"/>
          </w:rPr>
          <w:t xml:space="preserve"> 442 U.S. at 118, 122</w:t>
        </w:r>
      </w:hyperlink>
      <w:r>
        <w:rPr>
          <w:rFonts w:ascii="Times New Roman" w:hAnsi="Times New Roman" w:cs="Times New Roman"/>
          <w:color w:val="000000"/>
          <w:sz w:val="24"/>
          <w:szCs w:val="24"/>
        </w:rPr>
        <w:t xml:space="preserve">; </w:t>
      </w:r>
      <w:hyperlink r:id="rId266" w:history="1">
        <w:r>
          <w:rPr>
            <w:rFonts w:ascii="Times New Roman" w:hAnsi="Times New Roman" w:cs="Times New Roman"/>
            <w:i/>
            <w:iCs/>
            <w:color w:val="0000FF"/>
            <w:sz w:val="24"/>
            <w:szCs w:val="24"/>
          </w:rPr>
          <w:t>Silver v. N.Y. Stock Exch.,</w:t>
        </w:r>
      </w:hyperlink>
      <w:hyperlink r:id="rId267" w:history="1">
        <w:r>
          <w:rPr>
            <w:rFonts w:ascii="Times New Roman" w:hAnsi="Times New Roman" w:cs="Times New Roman"/>
            <w:color w:val="0000FF"/>
            <w:sz w:val="24"/>
            <w:szCs w:val="24"/>
          </w:rPr>
          <w:t xml:space="preserve"> 373 U.S. 341, 357 (1963)</w:t>
        </w:r>
      </w:hyperlink>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w:t>
      </w:r>
      <w:r>
        <w:rPr>
          <w:rFonts w:ascii="Times New Roman" w:hAnsi="Times New Roman" w:cs="Times New Roman"/>
          <w:color w:val="000000"/>
          <w:sz w:val="24"/>
          <w:szCs w:val="24"/>
        </w:rPr>
        <w:t>the proper approach to this case, in our view, is an analysis which reconciles the operation of bo</w:t>
      </w:r>
      <w:r>
        <w:rPr>
          <w:rFonts w:ascii="Times New Roman" w:hAnsi="Times New Roman" w:cs="Times New Roman"/>
          <w:color w:val="000000"/>
          <w:sz w:val="24"/>
          <w:szCs w:val="24"/>
        </w:rPr>
        <w:t>th statutory schemes with one another rather than holding one completely ousted</w:t>
      </w:r>
      <w:r>
        <w:rPr>
          <w:rFonts w:ascii="Times New Roman" w:hAnsi="Times New Roman" w:cs="Times New Roman"/>
          <w:color w:val="000000"/>
          <w:sz w:val="24"/>
          <w:szCs w:val="24"/>
        </w:rPr>
        <w:t>”</w:t>
      </w:r>
      <w:r>
        <w:rPr>
          <w:rFonts w:ascii="Times New Roman" w:hAnsi="Times New Roman" w:cs="Times New Roman"/>
          <w:color w:val="000000"/>
          <w:sz w:val="24"/>
          <w:szCs w:val="24"/>
        </w:rPr>
        <w:t>). More than that, they harmoniously work together to enable businesses to promote a fair marketplace, and protect consumers from confusion about products.</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C. The Lanham Act A</w:t>
      </w:r>
      <w:r>
        <w:rPr>
          <w:rFonts w:ascii="Times New Roman" w:hAnsi="Times New Roman" w:cs="Times New Roman"/>
          <w:color w:val="000000"/>
          <w:sz w:val="24"/>
          <w:szCs w:val="24"/>
        </w:rPr>
        <w:t>nd The FDCA Work In Tandem.</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Private Lanham Act suits should not be banished from the domain of food and beverage labeling, and, to the contrary, should be allowed to work in tandem with the FDCA to promote the purposes Congress intended them to serve.</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*19</w:t>
      </w:r>
      <w:r>
        <w:rPr>
          <w:rFonts w:ascii="Times New Roman" w:hAnsi="Times New Roman" w:cs="Times New Roman"/>
          <w:color w:val="000000"/>
          <w:sz w:val="24"/>
          <w:szCs w:val="24"/>
        </w:rPr>
        <w:t xml:space="preserve"> In this case, the dispute is whether the name and labeling of the </w:t>
      </w:r>
      <w:r>
        <w:rPr>
          <w:rFonts w:ascii="Times New Roman" w:hAnsi="Times New Roman" w:cs="Times New Roman"/>
          <w:color w:val="000000"/>
          <w:sz w:val="24"/>
          <w:szCs w:val="24"/>
        </w:rPr>
        <w:t>“</w:t>
      </w:r>
      <w:r>
        <w:rPr>
          <w:rFonts w:ascii="Times New Roman" w:hAnsi="Times New Roman" w:cs="Times New Roman"/>
          <w:color w:val="000000"/>
          <w:sz w:val="24"/>
          <w:szCs w:val="24"/>
        </w:rPr>
        <w:t>Pomegranate Blueberry</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product are misleading to consumers. Under the Ninth Circuit's ruling, Pom is precluded from using its resources to survey consumers to build a Lanham Act Section</w:t>
      </w:r>
      <w:r>
        <w:rPr>
          <w:rFonts w:ascii="Times New Roman" w:hAnsi="Times New Roman" w:cs="Times New Roman"/>
          <w:color w:val="000000"/>
          <w:sz w:val="24"/>
          <w:szCs w:val="24"/>
        </w:rPr>
        <w:t xml:space="preserve"> 43(a) case that challenges its competitor's product's name and labeling as misleading based on actual evidence of dece</w:t>
      </w:r>
      <w:r>
        <w:rPr>
          <w:rFonts w:ascii="Times New Roman" w:hAnsi="Times New Roman" w:cs="Times New Roman"/>
          <w:color w:val="000000"/>
          <w:sz w:val="24"/>
          <w:szCs w:val="24"/>
        </w:rPr>
        <w:t>p</w:t>
      </w:r>
      <w:r>
        <w:rPr>
          <w:rFonts w:ascii="Times New Roman" w:hAnsi="Times New Roman" w:cs="Times New Roman"/>
          <w:color w:val="000000"/>
          <w:sz w:val="24"/>
          <w:szCs w:val="24"/>
        </w:rPr>
        <w:t>tion.</w:t>
      </w:r>
      <w:r>
        <w:rPr>
          <w:rFonts w:ascii="Times New Roman" w:hAnsi="Times New Roman" w:cs="Times New Roman"/>
          <w:color w:val="000000"/>
          <w:sz w:val="20"/>
          <w:szCs w:val="20"/>
          <w:vertAlign w:val="superscript"/>
        </w:rPr>
        <w:t>[FN7]</w:t>
      </w:r>
      <w:r>
        <w:rPr>
          <w:rFonts w:ascii="Times New Roman" w:hAnsi="Times New Roman" w:cs="Times New Roman"/>
          <w:color w:val="000000"/>
          <w:sz w:val="24"/>
          <w:szCs w:val="24"/>
        </w:rPr>
        <w:t xml:space="preserve"> Pom is also precluded from seeking damages or other relief for any harm caused. Instead, Pom is left to await a time when </w:t>
      </w:r>
      <w:r>
        <w:rPr>
          <w:rFonts w:ascii="Times New Roman" w:hAnsi="Times New Roman" w:cs="Times New Roman"/>
          <w:color w:val="000000"/>
          <w:sz w:val="24"/>
          <w:szCs w:val="24"/>
        </w:rPr>
        <w:t>“</w:t>
      </w:r>
      <w:r>
        <w:rPr>
          <w:rFonts w:ascii="Times New Roman" w:hAnsi="Times New Roman" w:cs="Times New Roman"/>
          <w:color w:val="000000"/>
          <w:sz w:val="24"/>
          <w:szCs w:val="24"/>
        </w:rPr>
        <w:t>th</w:t>
      </w:r>
      <w:r>
        <w:rPr>
          <w:rFonts w:ascii="Times New Roman" w:hAnsi="Times New Roman" w:cs="Times New Roman"/>
          <w:color w:val="000000"/>
          <w:sz w:val="24"/>
          <w:szCs w:val="24"/>
        </w:rPr>
        <w:t>e FDA believes that more should be done to prevent dece</w:t>
      </w:r>
      <w:r>
        <w:rPr>
          <w:rFonts w:ascii="Times New Roman" w:hAnsi="Times New Roman" w:cs="Times New Roman"/>
          <w:color w:val="000000"/>
          <w:sz w:val="24"/>
          <w:szCs w:val="24"/>
        </w:rPr>
        <w:t>p</w:t>
      </w:r>
      <w:r>
        <w:rPr>
          <w:rFonts w:ascii="Times New Roman" w:hAnsi="Times New Roman" w:cs="Times New Roman"/>
          <w:color w:val="000000"/>
          <w:sz w:val="24"/>
          <w:szCs w:val="24"/>
        </w:rPr>
        <w:t>tion,</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and </w:t>
      </w:r>
      <w:r>
        <w:rPr>
          <w:rFonts w:ascii="Times New Roman" w:hAnsi="Times New Roman" w:cs="Times New Roman"/>
          <w:color w:val="000000"/>
          <w:sz w:val="24"/>
          <w:szCs w:val="24"/>
        </w:rPr>
        <w:t>“</w:t>
      </w:r>
      <w:r>
        <w:rPr>
          <w:rFonts w:ascii="Times New Roman" w:hAnsi="Times New Roman" w:cs="Times New Roman"/>
          <w:color w:val="000000"/>
          <w:sz w:val="24"/>
          <w:szCs w:val="24"/>
        </w:rPr>
        <w:t>act[s].</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Pet. App. 11a. The court of appeals concluded that </w:t>
      </w:r>
      <w:r>
        <w:rPr>
          <w:rFonts w:ascii="Times New Roman" w:hAnsi="Times New Roman" w:cs="Times New Roman"/>
          <w:color w:val="000000"/>
          <w:sz w:val="24"/>
          <w:szCs w:val="24"/>
        </w:rPr>
        <w:t>“</w:t>
      </w:r>
      <w:r>
        <w:rPr>
          <w:rFonts w:ascii="Times New Roman" w:hAnsi="Times New Roman" w:cs="Times New Roman"/>
          <w:color w:val="000000"/>
          <w:sz w:val="24"/>
          <w:szCs w:val="24"/>
        </w:rPr>
        <w:t>[i]n the circumstances here, the appropriate forum for [Pom's] complaints is the FDA.</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Id.</w:t>
      </w:r>
      <w:r>
        <w:rPr>
          <w:rFonts w:ascii="Times New Roman" w:hAnsi="Times New Roman" w:cs="Times New Roman"/>
          <w:color w:val="000000"/>
          <w:sz w:val="24"/>
          <w:szCs w:val="24"/>
        </w:rPr>
        <w:t xml:space="preserve"> (quoting </w:t>
      </w:r>
      <w:hyperlink r:id="rId268" w:history="1">
        <w:r>
          <w:rPr>
            <w:rFonts w:ascii="Times New Roman" w:hAnsi="Times New Roman" w:cs="Times New Roman"/>
            <w:i/>
            <w:iCs/>
            <w:color w:val="0000FF"/>
            <w:sz w:val="24"/>
            <w:szCs w:val="24"/>
          </w:rPr>
          <w:t>PhotoMedex, Inc. v. Irwin,</w:t>
        </w:r>
      </w:hyperlink>
      <w:hyperlink r:id="rId269" w:history="1">
        <w:r>
          <w:rPr>
            <w:rFonts w:ascii="Times New Roman" w:hAnsi="Times New Roman" w:cs="Times New Roman"/>
            <w:color w:val="0000FF"/>
            <w:sz w:val="24"/>
            <w:szCs w:val="24"/>
          </w:rPr>
          <w:t xml:space="preserve"> 601 F.3d 919, 929 (9th Cir. 2010)</w:t>
        </w:r>
      </w:hyperlink>
      <w:r>
        <w:rPr>
          <w:rFonts w:ascii="Times New Roman" w:hAnsi="Times New Roman" w:cs="Times New Roman"/>
          <w:color w:val="000000"/>
          <w:sz w:val="24"/>
          <w:szCs w:val="24"/>
        </w:rPr>
        <w:t>).</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ind w:left="720"/>
        <w:jc w:val="both"/>
        <w:rPr>
          <w:rFonts w:ascii="Times New Roman" w:hAnsi="Times New Roman" w:cs="Times New Roman"/>
          <w:color w:val="000000"/>
          <w:sz w:val="24"/>
          <w:szCs w:val="24"/>
        </w:rPr>
      </w:pPr>
      <w:r>
        <w:rPr>
          <w:rFonts w:ascii="Times New Roman" w:hAnsi="Times New Roman" w:cs="Times New Roman"/>
          <w:color w:val="000000"/>
          <w:sz w:val="24"/>
          <w:szCs w:val="24"/>
        </w:rPr>
        <w:t>FN7. As noted, INTA takes no position on the substantive merits of Pom's claim, which were not reached by the Ninth Circuit.</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By limiting the ability of priv</w:t>
      </w:r>
      <w:r>
        <w:rPr>
          <w:rFonts w:ascii="Times New Roman" w:hAnsi="Times New Roman" w:cs="Times New Roman"/>
          <w:color w:val="000000"/>
          <w:sz w:val="24"/>
          <w:szCs w:val="24"/>
        </w:rPr>
        <w:t>ate parties to challenge false and misleading advertising only through a petition to the FDA, the Ninth Circuit eliminates - for all practical purposes - the Lanham Act as a tool for private parties to fight such advertising's effects. The slow wheels of f</w:t>
      </w:r>
      <w:r>
        <w:rPr>
          <w:rFonts w:ascii="Times New Roman" w:hAnsi="Times New Roman" w:cs="Times New Roman"/>
          <w:color w:val="000000"/>
          <w:sz w:val="24"/>
          <w:szCs w:val="24"/>
        </w:rPr>
        <w:t>ederal rulemaking and the floor they set can never keep pace with the threats false advertising pose to a fair ma</w:t>
      </w:r>
      <w:r>
        <w:rPr>
          <w:rFonts w:ascii="Times New Roman" w:hAnsi="Times New Roman" w:cs="Times New Roman"/>
          <w:color w:val="000000"/>
          <w:sz w:val="24"/>
          <w:szCs w:val="24"/>
        </w:rPr>
        <w:t>r</w:t>
      </w:r>
      <w:r>
        <w:rPr>
          <w:rFonts w:ascii="Times New Roman" w:hAnsi="Times New Roman" w:cs="Times New Roman"/>
          <w:color w:val="000000"/>
          <w:sz w:val="24"/>
          <w:szCs w:val="24"/>
        </w:rPr>
        <w:t>ketplace, and the necessarily broad scope of regulation cannot evaluate an actual likelihood of deception or confusion in specific instances o</w:t>
      </w:r>
      <w:r>
        <w:rPr>
          <w:rFonts w:ascii="Times New Roman" w:hAnsi="Times New Roman" w:cs="Times New Roman"/>
          <w:color w:val="000000"/>
          <w:sz w:val="24"/>
          <w:szCs w:val="24"/>
        </w:rPr>
        <w:t>f false advertising. Products are introduced or rel</w:t>
      </w:r>
      <w:r>
        <w:rPr>
          <w:rFonts w:ascii="Times New Roman" w:hAnsi="Times New Roman" w:cs="Times New Roman"/>
          <w:color w:val="000000"/>
          <w:sz w:val="24"/>
          <w:szCs w:val="24"/>
        </w:rPr>
        <w:t>a</w:t>
      </w:r>
      <w:r>
        <w:rPr>
          <w:rFonts w:ascii="Times New Roman" w:hAnsi="Times New Roman" w:cs="Times New Roman"/>
          <w:color w:val="000000"/>
          <w:sz w:val="24"/>
          <w:szCs w:val="24"/>
        </w:rPr>
        <w:t>beled all the time. Disputes over labels, such as the juice label in this case, flare up quickly, and the harms from unfair competition quickly take their toll on market participants and consumers. The en</w:t>
      </w:r>
      <w:r>
        <w:rPr>
          <w:rFonts w:ascii="Times New Roman" w:hAnsi="Times New Roman" w:cs="Times New Roman"/>
          <w:color w:val="000000"/>
          <w:sz w:val="24"/>
          <w:szCs w:val="24"/>
        </w:rPr>
        <w:t xml:space="preserve">tities </w:t>
      </w:r>
      <w:r>
        <w:rPr>
          <w:rFonts w:ascii="Times New Roman" w:hAnsi="Times New Roman" w:cs="Times New Roman"/>
          <w:b/>
          <w:bCs/>
          <w:color w:val="000000"/>
          <w:sz w:val="24"/>
          <w:szCs w:val="24"/>
        </w:rPr>
        <w:t>*20</w:t>
      </w:r>
      <w:r>
        <w:rPr>
          <w:rFonts w:ascii="Times New Roman" w:hAnsi="Times New Roman" w:cs="Times New Roman"/>
          <w:color w:val="000000"/>
          <w:sz w:val="24"/>
          <w:szCs w:val="24"/>
        </w:rPr>
        <w:t xml:space="preserve"> best positioned to understand and investigate instances of false advertising are the businesses whose interests are injured, even though the labeling at issue will often concern an area important enough for the FDA to have issued broad, relevant</w:t>
      </w:r>
      <w:r>
        <w:rPr>
          <w:rFonts w:ascii="Times New Roman" w:hAnsi="Times New Roman" w:cs="Times New Roman"/>
          <w:color w:val="000000"/>
          <w:sz w:val="24"/>
          <w:szCs w:val="24"/>
        </w:rPr>
        <w:t xml:space="preserve"> regulations. </w:t>
      </w:r>
      <w:r>
        <w:rPr>
          <w:rFonts w:ascii="Times New Roman" w:hAnsi="Times New Roman" w:cs="Times New Roman"/>
          <w:i/>
          <w:iCs/>
          <w:color w:val="000000"/>
          <w:sz w:val="24"/>
          <w:szCs w:val="24"/>
        </w:rPr>
        <w:t xml:space="preserve">See </w:t>
      </w:r>
      <w:hyperlink r:id="rId270" w:history="1">
        <w:r>
          <w:rPr>
            <w:rFonts w:ascii="Times New Roman" w:hAnsi="Times New Roman" w:cs="Times New Roman"/>
            <w:i/>
            <w:iCs/>
            <w:color w:val="0000FF"/>
            <w:sz w:val="24"/>
            <w:szCs w:val="24"/>
          </w:rPr>
          <w:t>Coca-Cola Co. v. Procter &amp; Gamble Co.,</w:t>
        </w:r>
      </w:hyperlink>
      <w:hyperlink r:id="rId271" w:history="1">
        <w:r>
          <w:rPr>
            <w:rFonts w:ascii="Times New Roman" w:hAnsi="Times New Roman" w:cs="Times New Roman"/>
            <w:color w:val="0000FF"/>
            <w:sz w:val="24"/>
            <w:szCs w:val="24"/>
          </w:rPr>
          <w:t xml:space="preserve"> 822 F.2d 28, 31 (6th Cir. 1987)</w:t>
        </w:r>
      </w:hyperlink>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w:t>
      </w:r>
      <w:r>
        <w:rPr>
          <w:rFonts w:ascii="Times New Roman" w:hAnsi="Times New Roman" w:cs="Times New Roman"/>
          <w:color w:val="000000"/>
          <w:sz w:val="24"/>
          <w:szCs w:val="24"/>
        </w:rPr>
        <w:t>Under our economic system, competitors have the greatest interest in stopping misleading advertising, and</w:t>
      </w:r>
      <w:r>
        <w:rPr>
          <w:rFonts w:ascii="Times New Roman" w:hAnsi="Times New Roman" w:cs="Times New Roman"/>
          <w:color w:val="000000"/>
          <w:sz w:val="24"/>
          <w:szCs w:val="24"/>
        </w:rPr>
        <w:t xml:space="preserve"> a private cause of action under section 43(a) allows those parties with the greatest interest in enforcement and in many situations with the greatest resources to devote to a lawsuit, to enforce the statute rigorously</w:t>
      </w:r>
      <w:r>
        <w:rPr>
          <w:rFonts w:ascii="Times New Roman" w:hAnsi="Times New Roman" w:cs="Times New Roman"/>
          <w:color w:val="000000"/>
          <w:sz w:val="24"/>
          <w:szCs w:val="24"/>
        </w:rPr>
        <w:t>”</w:t>
      </w:r>
      <w:r>
        <w:rPr>
          <w:rFonts w:ascii="Times New Roman" w:hAnsi="Times New Roman" w:cs="Times New Roman"/>
          <w:color w:val="000000"/>
          <w:sz w:val="24"/>
          <w:szCs w:val="24"/>
        </w:rPr>
        <w:t>).</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Indeed, this case well illustrate</w:t>
      </w:r>
      <w:r>
        <w:rPr>
          <w:rFonts w:ascii="Times New Roman" w:hAnsi="Times New Roman" w:cs="Times New Roman"/>
          <w:color w:val="000000"/>
          <w:sz w:val="24"/>
          <w:szCs w:val="24"/>
        </w:rPr>
        <w:t xml:space="preserve">s how a business can use a Lanham Act claim to address relatively quickly a specific instance of potentially misleading advertising. As a party typically does in preparing a Lanham Act suit, Pom commissioned a marketing and public opinion research firm to </w:t>
      </w:r>
      <w:r>
        <w:rPr>
          <w:rFonts w:ascii="Times New Roman" w:hAnsi="Times New Roman" w:cs="Times New Roman"/>
          <w:color w:val="000000"/>
          <w:sz w:val="24"/>
          <w:szCs w:val="24"/>
        </w:rPr>
        <w:t xml:space="preserve">conduct a field survey to test whether consumer confusion about the product exists. Pet. App. 32. </w:t>
      </w:r>
      <w:hyperlink r:id="rId272" w:history="1">
        <w:r>
          <w:rPr>
            <w:rFonts w:ascii="Times New Roman" w:hAnsi="Times New Roman" w:cs="Times New Roman"/>
            <w:i/>
            <w:iCs/>
            <w:color w:val="0000FF"/>
            <w:sz w:val="24"/>
            <w:szCs w:val="24"/>
          </w:rPr>
          <w:t>H</w:t>
        </w:r>
        <w:r>
          <w:rPr>
            <w:rFonts w:ascii="Times New Roman" w:hAnsi="Times New Roman" w:cs="Times New Roman"/>
            <w:i/>
            <w:iCs/>
            <w:color w:val="0000FF"/>
            <w:sz w:val="24"/>
            <w:szCs w:val="24"/>
          </w:rPr>
          <w:t>ickson Corp. v. N. Crossarm Co., Inc.,</w:t>
        </w:r>
      </w:hyperlink>
      <w:hyperlink r:id="rId273" w:history="1">
        <w:r>
          <w:rPr>
            <w:rFonts w:ascii="Times New Roman" w:hAnsi="Times New Roman" w:cs="Times New Roman"/>
            <w:color w:val="0000FF"/>
            <w:sz w:val="24"/>
            <w:szCs w:val="24"/>
          </w:rPr>
          <w:t xml:space="preserve"> 357 F.3d 1256, 1261 (11th Cir. 2004)</w:t>
        </w:r>
      </w:hyperlink>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w:t>
      </w:r>
      <w:r>
        <w:rPr>
          <w:rFonts w:ascii="Times New Roman" w:hAnsi="Times New Roman" w:cs="Times New Roman"/>
          <w:color w:val="000000"/>
          <w:sz w:val="24"/>
          <w:szCs w:val="24"/>
        </w:rPr>
        <w:t>Consumer survey</w:t>
      </w:r>
      <w:r>
        <w:rPr>
          <w:rFonts w:ascii="Times New Roman" w:hAnsi="Times New Roman" w:cs="Times New Roman"/>
          <w:color w:val="000000"/>
          <w:sz w:val="24"/>
          <w:szCs w:val="24"/>
        </w:rPr>
        <w:t xml:space="preserve"> research often is a key part of a Lanham Act claim alleging that an advertisement is misleading or deceptive.</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 xml:space="preserve">Johnson &amp; Johnson Merck Consumer Pharms. Co. v. </w:t>
      </w:r>
      <w:hyperlink r:id="rId274" w:history="1">
        <w:r>
          <w:rPr>
            <w:rFonts w:ascii="Times New Roman" w:hAnsi="Times New Roman" w:cs="Times New Roman"/>
            <w:i/>
            <w:iCs/>
            <w:color w:val="0000FF"/>
            <w:sz w:val="24"/>
            <w:szCs w:val="24"/>
          </w:rPr>
          <w:t>Smithkline Beecham Corp.,</w:t>
        </w:r>
      </w:hyperlink>
      <w:hyperlink r:id="rId275" w:history="1">
        <w:r>
          <w:rPr>
            <w:rFonts w:ascii="Times New Roman" w:hAnsi="Times New Roman" w:cs="Times New Roman"/>
            <w:color w:val="0000FF"/>
            <w:sz w:val="24"/>
            <w:szCs w:val="24"/>
          </w:rPr>
          <w:t xml:space="preserve"> 960 F.2d </w:t>
        </w:r>
        <w:r>
          <w:rPr>
            <w:rFonts w:ascii="Times New Roman" w:hAnsi="Times New Roman" w:cs="Times New Roman"/>
            <w:color w:val="0000FF"/>
            <w:sz w:val="24"/>
            <w:szCs w:val="24"/>
          </w:rPr>
          <w:t>294, 298 (2d Cir. 1992)</w:t>
        </w:r>
      </w:hyperlink>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w:t>
      </w:r>
      <w:r>
        <w:rPr>
          <w:rFonts w:ascii="Times New Roman" w:hAnsi="Times New Roman" w:cs="Times New Roman"/>
          <w:color w:val="000000"/>
          <w:sz w:val="24"/>
          <w:szCs w:val="24"/>
        </w:rPr>
        <w:t>[T]he success of a plaintiff's implied falsity claim usually turns on the persuasiveness of a consumer survey.</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Pom contends that the survey demonstrates that </w:t>
      </w:r>
      <w:r>
        <w:rPr>
          <w:rFonts w:ascii="Times New Roman" w:hAnsi="Times New Roman" w:cs="Times New Roman"/>
          <w:color w:val="000000"/>
          <w:sz w:val="24"/>
          <w:szCs w:val="24"/>
        </w:rPr>
        <w:t>“</w:t>
      </w:r>
      <w:r>
        <w:rPr>
          <w:rFonts w:ascii="Times New Roman" w:hAnsi="Times New Roman" w:cs="Times New Roman"/>
          <w:color w:val="000000"/>
          <w:sz w:val="24"/>
          <w:szCs w:val="24"/>
        </w:rPr>
        <w:t>a substantial proportion of potential purchasers of pomegranate a</w:t>
      </w:r>
      <w:r>
        <w:rPr>
          <w:rFonts w:ascii="Times New Roman" w:hAnsi="Times New Roman" w:cs="Times New Roman"/>
          <w:color w:val="000000"/>
          <w:sz w:val="24"/>
          <w:szCs w:val="24"/>
        </w:rPr>
        <w:t>nd blueberry juice blends are likely to mistakenly believe</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Coca-Cola's juice consists mainly of pomegranate and </w:t>
      </w:r>
      <w:r>
        <w:rPr>
          <w:rFonts w:ascii="Times New Roman" w:hAnsi="Times New Roman" w:cs="Times New Roman"/>
          <w:b/>
          <w:bCs/>
          <w:color w:val="000000"/>
          <w:sz w:val="24"/>
          <w:szCs w:val="24"/>
        </w:rPr>
        <w:t>*21</w:t>
      </w:r>
      <w:r>
        <w:rPr>
          <w:rFonts w:ascii="Times New Roman" w:hAnsi="Times New Roman" w:cs="Times New Roman"/>
          <w:color w:val="000000"/>
          <w:sz w:val="24"/>
          <w:szCs w:val="24"/>
        </w:rPr>
        <w:t xml:space="preserve"> blueberry juice, rather than other cheaper juices. Pet. App. 33a.</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When Lanham Act suits are not barred (as the Ninth Circuit has done), a business can take such evidence to trial and resolve the dispute. If it prevails, it can obtain injunctive relief, damages and remedies such as disgorgement that can resolve the disput</w:t>
      </w:r>
      <w:r>
        <w:rPr>
          <w:rFonts w:ascii="Times New Roman" w:hAnsi="Times New Roman" w:cs="Times New Roman"/>
          <w:color w:val="000000"/>
          <w:sz w:val="24"/>
          <w:szCs w:val="24"/>
        </w:rPr>
        <w:t>e. Or if the claim cannot be proven, the dispute may go away. The private parties who have the most direct interest in the dispute bear the brunt of the costs of the litigation. The federal government cannot hope to devote similar resources and sustained f</w:t>
      </w:r>
      <w:r>
        <w:rPr>
          <w:rFonts w:ascii="Times New Roman" w:hAnsi="Times New Roman" w:cs="Times New Roman"/>
          <w:color w:val="000000"/>
          <w:sz w:val="24"/>
          <w:szCs w:val="24"/>
        </w:rPr>
        <w:t>ocus on particular advertisements. In effect, the Lanham Act harnesses a ma</w:t>
      </w:r>
      <w:r>
        <w:rPr>
          <w:rFonts w:ascii="Times New Roman" w:hAnsi="Times New Roman" w:cs="Times New Roman"/>
          <w:color w:val="000000"/>
          <w:sz w:val="24"/>
          <w:szCs w:val="24"/>
        </w:rPr>
        <w:t>r</w:t>
      </w:r>
      <w:r>
        <w:rPr>
          <w:rFonts w:ascii="Times New Roman" w:hAnsi="Times New Roman" w:cs="Times New Roman"/>
          <w:color w:val="000000"/>
          <w:sz w:val="24"/>
          <w:szCs w:val="24"/>
        </w:rPr>
        <w:lastRenderedPageBreak/>
        <w:t>ket-type mechanism to enable businesses to act on their own interests to police false and mi</w:t>
      </w:r>
      <w:r>
        <w:rPr>
          <w:rFonts w:ascii="Times New Roman" w:hAnsi="Times New Roman" w:cs="Times New Roman"/>
          <w:color w:val="000000"/>
          <w:sz w:val="24"/>
          <w:szCs w:val="24"/>
        </w:rPr>
        <w:t>s</w:t>
      </w:r>
      <w:r>
        <w:rPr>
          <w:rFonts w:ascii="Times New Roman" w:hAnsi="Times New Roman" w:cs="Times New Roman"/>
          <w:color w:val="000000"/>
          <w:sz w:val="24"/>
          <w:szCs w:val="24"/>
        </w:rPr>
        <w:t>leading advertising. And the threat of such litigation can help promote a fair marketpl</w:t>
      </w:r>
      <w:r>
        <w:rPr>
          <w:rFonts w:ascii="Times New Roman" w:hAnsi="Times New Roman" w:cs="Times New Roman"/>
          <w:color w:val="000000"/>
          <w:sz w:val="24"/>
          <w:szCs w:val="24"/>
        </w:rPr>
        <w:t>ace because businesses know they risk a Lanham Act suit if they promote products with false and misleading labels.</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Allowing the Lanham Act to harness the interests of businesses in this manner to police false and misleading advertising does not mean the F</w:t>
      </w:r>
      <w:r>
        <w:rPr>
          <w:rFonts w:ascii="Times New Roman" w:hAnsi="Times New Roman" w:cs="Times New Roman"/>
          <w:color w:val="000000"/>
          <w:sz w:val="24"/>
          <w:szCs w:val="24"/>
        </w:rPr>
        <w:t xml:space="preserve">DCA and FDA regulations have no role to play. They have a unique and indispensable regulatory role. For example, </w:t>
      </w:r>
      <w:hyperlink r:id="rId276" w:history="1">
        <w:r>
          <w:rPr>
            <w:rFonts w:ascii="Times New Roman" w:hAnsi="Times New Roman" w:cs="Times New Roman"/>
            <w:color w:val="0000FF"/>
            <w:sz w:val="24"/>
            <w:szCs w:val="24"/>
          </w:rPr>
          <w:t>21 C.F.R. § 102.33(d)</w:t>
        </w:r>
      </w:hyperlink>
      <w:r>
        <w:rPr>
          <w:rFonts w:ascii="Times New Roman" w:hAnsi="Times New Roman" w:cs="Times New Roman"/>
          <w:color w:val="000000"/>
          <w:sz w:val="24"/>
          <w:szCs w:val="24"/>
        </w:rPr>
        <w:t xml:space="preserve"> permits a manufacturer to name a beverage using the name of a flavoring juice that is not predominant. It may be that </w:t>
      </w:r>
      <w:r>
        <w:rPr>
          <w:rFonts w:ascii="Times New Roman" w:hAnsi="Times New Roman" w:cs="Times New Roman"/>
          <w:color w:val="000000"/>
          <w:sz w:val="24"/>
          <w:szCs w:val="24"/>
        </w:rPr>
        <w:t>“</w:t>
      </w:r>
      <w:r>
        <w:rPr>
          <w:rFonts w:ascii="Times New Roman" w:hAnsi="Times New Roman" w:cs="Times New Roman"/>
          <w:color w:val="000000"/>
          <w:sz w:val="24"/>
          <w:szCs w:val="24"/>
        </w:rPr>
        <w:t>FDA regulations authorize the name [Coca-Cola] has chosen.</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Pet. App. 9a. The FDA has </w:t>
      </w:r>
      <w:r>
        <w:rPr>
          <w:rFonts w:ascii="Times New Roman" w:hAnsi="Times New Roman" w:cs="Times New Roman"/>
          <w:color w:val="000000"/>
          <w:sz w:val="24"/>
          <w:szCs w:val="24"/>
        </w:rPr>
        <w:t>considered naming and issued a broad regulation, and Coca-Cola has apparently co</w:t>
      </w:r>
      <w:r>
        <w:rPr>
          <w:rFonts w:ascii="Times New Roman" w:hAnsi="Times New Roman" w:cs="Times New Roman"/>
          <w:color w:val="000000"/>
          <w:sz w:val="24"/>
          <w:szCs w:val="24"/>
        </w:rPr>
        <w:t>m</w:t>
      </w:r>
      <w:r>
        <w:rPr>
          <w:rFonts w:ascii="Times New Roman" w:hAnsi="Times New Roman" w:cs="Times New Roman"/>
          <w:color w:val="000000"/>
          <w:sz w:val="24"/>
          <w:szCs w:val="24"/>
        </w:rPr>
        <w:t xml:space="preserve">plied with it, but that alone does not require the conclusion that Pom could never prove through surveys and other evidence that the specific name is not misleading. </w:t>
      </w:r>
      <w:r>
        <w:rPr>
          <w:rFonts w:ascii="Times New Roman" w:hAnsi="Times New Roman" w:cs="Times New Roman"/>
          <w:b/>
          <w:bCs/>
          <w:color w:val="000000"/>
          <w:sz w:val="24"/>
          <w:szCs w:val="24"/>
        </w:rPr>
        <w:t>*22</w:t>
      </w:r>
      <w:r>
        <w:rPr>
          <w:rFonts w:ascii="Times New Roman" w:hAnsi="Times New Roman" w:cs="Times New Roman"/>
          <w:color w:val="000000"/>
          <w:sz w:val="24"/>
          <w:szCs w:val="24"/>
        </w:rPr>
        <w:t xml:space="preserve"> And t</w:t>
      </w:r>
      <w:r>
        <w:rPr>
          <w:rFonts w:ascii="Times New Roman" w:hAnsi="Times New Roman" w:cs="Times New Roman"/>
          <w:color w:val="000000"/>
          <w:sz w:val="24"/>
          <w:szCs w:val="24"/>
        </w:rPr>
        <w:t>he FDCA does not address whether Pom has suffered commercial harm from the misleading name, and how the harm can be redressed.</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Similarly, the court of appeals concluded that Pom's Lanham Act claim was precluded with respect to the label's presentation of </w:t>
      </w:r>
      <w:r>
        <w:rPr>
          <w:rFonts w:ascii="Times New Roman" w:hAnsi="Times New Roman" w:cs="Times New Roman"/>
          <w:color w:val="000000"/>
          <w:sz w:val="24"/>
          <w:szCs w:val="24"/>
        </w:rPr>
        <w:t xml:space="preserve">the words </w:t>
      </w:r>
      <w:r>
        <w:rPr>
          <w:rFonts w:ascii="Times New Roman" w:hAnsi="Times New Roman" w:cs="Times New Roman"/>
          <w:color w:val="000000"/>
          <w:sz w:val="24"/>
          <w:szCs w:val="24"/>
        </w:rPr>
        <w:t>“</w:t>
      </w:r>
      <w:r>
        <w:rPr>
          <w:rFonts w:ascii="Times New Roman" w:hAnsi="Times New Roman" w:cs="Times New Roman"/>
          <w:color w:val="000000"/>
          <w:sz w:val="24"/>
          <w:szCs w:val="24"/>
        </w:rPr>
        <w:t>Pomegranate Blueberry</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in </w:t>
      </w:r>
      <w:r>
        <w:rPr>
          <w:rFonts w:ascii="Times New Roman" w:hAnsi="Times New Roman" w:cs="Times New Roman"/>
          <w:color w:val="000000"/>
          <w:sz w:val="24"/>
          <w:szCs w:val="24"/>
        </w:rPr>
        <w:t>“</w:t>
      </w:r>
      <w:r>
        <w:rPr>
          <w:rFonts w:ascii="Times New Roman" w:hAnsi="Times New Roman" w:cs="Times New Roman"/>
          <w:color w:val="000000"/>
          <w:sz w:val="24"/>
          <w:szCs w:val="24"/>
        </w:rPr>
        <w:t>larger, more conspicuous type</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than the words </w:t>
      </w:r>
      <w:r>
        <w:rPr>
          <w:rFonts w:ascii="Times New Roman" w:hAnsi="Times New Roman" w:cs="Times New Roman"/>
          <w:color w:val="000000"/>
          <w:sz w:val="24"/>
          <w:szCs w:val="24"/>
        </w:rPr>
        <w:t>“</w:t>
      </w:r>
      <w:r>
        <w:rPr>
          <w:rFonts w:ascii="Times New Roman" w:hAnsi="Times New Roman" w:cs="Times New Roman"/>
          <w:color w:val="000000"/>
          <w:sz w:val="24"/>
          <w:szCs w:val="24"/>
        </w:rPr>
        <w:t>Flavored Blend of 5 Juices</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appearing below them. Pet. App. 10a. It may be that the FDCA and its implementing regulations </w:t>
      </w:r>
      <w:r>
        <w:rPr>
          <w:rFonts w:ascii="Times New Roman" w:hAnsi="Times New Roman" w:cs="Times New Roman"/>
          <w:color w:val="000000"/>
          <w:sz w:val="24"/>
          <w:szCs w:val="24"/>
        </w:rPr>
        <w:t>“</w:t>
      </w:r>
      <w:r>
        <w:rPr>
          <w:rFonts w:ascii="Times New Roman" w:hAnsi="Times New Roman" w:cs="Times New Roman"/>
          <w:color w:val="000000"/>
          <w:sz w:val="24"/>
          <w:szCs w:val="24"/>
        </w:rPr>
        <w:t>have specified how prominently and conspi</w:t>
      </w:r>
      <w:r>
        <w:rPr>
          <w:rFonts w:ascii="Times New Roman" w:hAnsi="Times New Roman" w:cs="Times New Roman"/>
          <w:color w:val="000000"/>
          <w:sz w:val="24"/>
          <w:szCs w:val="24"/>
        </w:rPr>
        <w:t>c</w:t>
      </w:r>
      <w:r>
        <w:rPr>
          <w:rFonts w:ascii="Times New Roman" w:hAnsi="Times New Roman" w:cs="Times New Roman"/>
          <w:color w:val="000000"/>
          <w:sz w:val="24"/>
          <w:szCs w:val="24"/>
        </w:rPr>
        <w:t>uously</w:t>
      </w:r>
      <w:r>
        <w:rPr>
          <w:rFonts w:ascii="Times New Roman" w:hAnsi="Times New Roman" w:cs="Times New Roman"/>
          <w:color w:val="000000"/>
          <w:sz w:val="24"/>
          <w:szCs w:val="24"/>
        </w:rPr>
        <w:t xml:space="preserve"> those words and statements must appear.</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Id.</w:t>
      </w:r>
      <w:r>
        <w:rPr>
          <w:rFonts w:ascii="Times New Roman" w:hAnsi="Times New Roman" w:cs="Times New Roman"/>
          <w:color w:val="000000"/>
          <w:sz w:val="24"/>
          <w:szCs w:val="24"/>
        </w:rPr>
        <w:t xml:space="preserve"> (citing </w:t>
      </w:r>
      <w:hyperlink r:id="rId277" w:history="1">
        <w:r>
          <w:rPr>
            <w:rFonts w:ascii="Times New Roman" w:hAnsi="Times New Roman" w:cs="Times New Roman"/>
            <w:color w:val="0000FF"/>
            <w:sz w:val="24"/>
            <w:szCs w:val="24"/>
          </w:rPr>
          <w:t>21 U.S.C. § 343(f)</w:t>
        </w:r>
      </w:hyperlink>
      <w:r>
        <w:rPr>
          <w:rFonts w:ascii="Times New Roman" w:hAnsi="Times New Roman" w:cs="Times New Roman"/>
          <w:color w:val="000000"/>
          <w:sz w:val="24"/>
          <w:szCs w:val="24"/>
        </w:rPr>
        <w:t xml:space="preserve">, </w:t>
      </w:r>
      <w:hyperlink r:id="rId278" w:history="1">
        <w:r>
          <w:rPr>
            <w:rFonts w:ascii="Times New Roman" w:hAnsi="Times New Roman" w:cs="Times New Roman"/>
            <w:color w:val="0000FF"/>
            <w:sz w:val="24"/>
            <w:szCs w:val="24"/>
          </w:rPr>
          <w:t>(i)</w:t>
        </w:r>
      </w:hyperlink>
      <w:r>
        <w:rPr>
          <w:rFonts w:ascii="Times New Roman" w:hAnsi="Times New Roman" w:cs="Times New Roman"/>
          <w:color w:val="000000"/>
          <w:sz w:val="24"/>
          <w:szCs w:val="24"/>
        </w:rPr>
        <w:t xml:space="preserve"> and </w:t>
      </w:r>
      <w:hyperlink r:id="rId279" w:history="1">
        <w:r>
          <w:rPr>
            <w:rFonts w:ascii="Times New Roman" w:hAnsi="Times New Roman" w:cs="Times New Roman"/>
            <w:color w:val="0000FF"/>
            <w:sz w:val="24"/>
            <w:szCs w:val="24"/>
          </w:rPr>
          <w:t>21 C.F.R. § 102.33(c)</w:t>
        </w:r>
      </w:hyperlink>
      <w:r>
        <w:rPr>
          <w:rFonts w:ascii="Times New Roman" w:hAnsi="Times New Roman" w:cs="Times New Roman"/>
          <w:color w:val="000000"/>
          <w:sz w:val="24"/>
          <w:szCs w:val="24"/>
        </w:rPr>
        <w:t xml:space="preserve">, </w:t>
      </w:r>
      <w:hyperlink r:id="rId280" w:history="1">
        <w:r>
          <w:rPr>
            <w:rFonts w:ascii="Times New Roman" w:hAnsi="Times New Roman" w:cs="Times New Roman"/>
            <w:color w:val="0000FF"/>
            <w:sz w:val="24"/>
            <w:szCs w:val="24"/>
          </w:rPr>
          <w:t>(d)</w:t>
        </w:r>
      </w:hyperlink>
      <w:r>
        <w:rPr>
          <w:rFonts w:ascii="Times New Roman" w:hAnsi="Times New Roman" w:cs="Times New Roman"/>
          <w:color w:val="000000"/>
          <w:sz w:val="24"/>
          <w:szCs w:val="24"/>
        </w:rPr>
        <w:t xml:space="preserve">). And this might reflect the fact that </w:t>
      </w:r>
      <w:r>
        <w:rPr>
          <w:rFonts w:ascii="Times New Roman" w:hAnsi="Times New Roman" w:cs="Times New Roman"/>
          <w:color w:val="000000"/>
          <w:sz w:val="24"/>
          <w:szCs w:val="24"/>
        </w:rPr>
        <w:t>“</w:t>
      </w:r>
      <w:r>
        <w:rPr>
          <w:rFonts w:ascii="Times New Roman" w:hAnsi="Times New Roman" w:cs="Times New Roman"/>
          <w:color w:val="000000"/>
          <w:sz w:val="24"/>
          <w:szCs w:val="24"/>
        </w:rPr>
        <w:t>Congress and the FDA have thus considered and spoken to what content a label must bear, and the relevant sizes in which the label must bear it, so as not to deceive,</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but not </w:t>
      </w:r>
      <w:r>
        <w:rPr>
          <w:rFonts w:ascii="Times New Roman" w:hAnsi="Times New Roman" w:cs="Times New Roman"/>
          <w:color w:val="000000"/>
          <w:sz w:val="24"/>
          <w:szCs w:val="24"/>
        </w:rPr>
        <w:t>“</w:t>
      </w:r>
      <w:r>
        <w:rPr>
          <w:rFonts w:ascii="Times New Roman" w:hAnsi="Times New Roman" w:cs="Times New Roman"/>
          <w:color w:val="000000"/>
          <w:sz w:val="24"/>
          <w:szCs w:val="24"/>
        </w:rPr>
        <w:t>required that a</w:t>
      </w:r>
      <w:r>
        <w:rPr>
          <w:rFonts w:ascii="Times New Roman" w:hAnsi="Times New Roman" w:cs="Times New Roman"/>
          <w:color w:val="000000"/>
          <w:sz w:val="24"/>
          <w:szCs w:val="24"/>
        </w:rPr>
        <w:t>ll words in a juice blend's name appear on the label in the same size.</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Id.</w:t>
      </w:r>
      <w:r>
        <w:rPr>
          <w:rFonts w:ascii="Times New Roman" w:hAnsi="Times New Roman" w:cs="Times New Roman"/>
          <w:color w:val="000000"/>
          <w:sz w:val="24"/>
          <w:szCs w:val="24"/>
        </w:rPr>
        <w:t xml:space="preserve"> But it does not follow that Pom must wait until the FDA </w:t>
      </w:r>
      <w:r>
        <w:rPr>
          <w:rFonts w:ascii="Times New Roman" w:hAnsi="Times New Roman" w:cs="Times New Roman"/>
          <w:color w:val="000000"/>
          <w:sz w:val="24"/>
          <w:szCs w:val="24"/>
        </w:rPr>
        <w:t>“</w:t>
      </w:r>
      <w:r>
        <w:rPr>
          <w:rFonts w:ascii="Times New Roman" w:hAnsi="Times New Roman" w:cs="Times New Roman"/>
          <w:color w:val="000000"/>
          <w:sz w:val="24"/>
          <w:szCs w:val="24"/>
        </w:rPr>
        <w:t>believes more should be done to prevent perceived *** deception,</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and decides to </w:t>
      </w:r>
      <w:r>
        <w:rPr>
          <w:rFonts w:ascii="Times New Roman" w:hAnsi="Times New Roman" w:cs="Times New Roman"/>
          <w:color w:val="000000"/>
          <w:sz w:val="24"/>
          <w:szCs w:val="24"/>
        </w:rPr>
        <w:t>“</w:t>
      </w:r>
      <w:r>
        <w:rPr>
          <w:rFonts w:ascii="Times New Roman" w:hAnsi="Times New Roman" w:cs="Times New Roman"/>
          <w:color w:val="000000"/>
          <w:sz w:val="24"/>
          <w:szCs w:val="24"/>
        </w:rPr>
        <w:t>act.</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Id.</w:t>
      </w:r>
      <w:r>
        <w:rPr>
          <w:rFonts w:ascii="Times New Roman" w:hAnsi="Times New Roman" w:cs="Times New Roman"/>
          <w:color w:val="000000"/>
          <w:sz w:val="24"/>
          <w:szCs w:val="24"/>
        </w:rPr>
        <w:t xml:space="preserve"> at 11. The FDCA contains provis</w:t>
      </w:r>
      <w:r>
        <w:rPr>
          <w:rFonts w:ascii="Times New Roman" w:hAnsi="Times New Roman" w:cs="Times New Roman"/>
          <w:color w:val="000000"/>
          <w:sz w:val="24"/>
          <w:szCs w:val="24"/>
        </w:rPr>
        <w:t>ions regarding the prominence of information on food labels (</w:t>
      </w:r>
      <w:r>
        <w:rPr>
          <w:rFonts w:ascii="Times New Roman" w:hAnsi="Times New Roman" w:cs="Times New Roman"/>
          <w:i/>
          <w:iCs/>
          <w:color w:val="000000"/>
          <w:sz w:val="24"/>
          <w:szCs w:val="24"/>
        </w:rPr>
        <w:t>e.g.</w:t>
      </w:r>
      <w:r>
        <w:rPr>
          <w:rFonts w:ascii="Times New Roman" w:hAnsi="Times New Roman" w:cs="Times New Roman"/>
          <w:color w:val="000000"/>
          <w:sz w:val="24"/>
          <w:szCs w:val="24"/>
        </w:rPr>
        <w:t xml:space="preserve">, </w:t>
      </w:r>
      <w:hyperlink r:id="rId281" w:history="1">
        <w:r>
          <w:rPr>
            <w:rFonts w:ascii="Times New Roman" w:hAnsi="Times New Roman" w:cs="Times New Roman"/>
            <w:color w:val="0000FF"/>
            <w:sz w:val="24"/>
            <w:szCs w:val="24"/>
          </w:rPr>
          <w:t>21 U.S.C. § 343(f)</w:t>
        </w:r>
      </w:hyperlink>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and there is no dispute that the product at issue complies, or is not inconsistent, with them. But this is a different inquiry than whether the accused product name and labeling are in fact likely to mislead the consumer. A plaintiff should be permitted </w:t>
      </w:r>
      <w:r>
        <w:rPr>
          <w:rFonts w:ascii="Times New Roman" w:hAnsi="Times New Roman" w:cs="Times New Roman"/>
          <w:color w:val="000000"/>
          <w:sz w:val="24"/>
          <w:szCs w:val="24"/>
        </w:rPr>
        <w:t>to take its claims and its proof of consumer dece</w:t>
      </w:r>
      <w:r>
        <w:rPr>
          <w:rFonts w:ascii="Times New Roman" w:hAnsi="Times New Roman" w:cs="Times New Roman"/>
          <w:color w:val="000000"/>
          <w:sz w:val="24"/>
          <w:szCs w:val="24"/>
        </w:rPr>
        <w:t>p</w:t>
      </w:r>
      <w:r>
        <w:rPr>
          <w:rFonts w:ascii="Times New Roman" w:hAnsi="Times New Roman" w:cs="Times New Roman"/>
          <w:color w:val="000000"/>
          <w:sz w:val="24"/>
          <w:szCs w:val="24"/>
        </w:rPr>
        <w:t xml:space="preserve">tion to trial, and if it establishes its case, it should be entitled to redress under the Lanham Act. In that way, Congress's purposes under both the Lanham Act and the FDCA </w:t>
      </w:r>
      <w:r>
        <w:rPr>
          <w:rFonts w:ascii="Times New Roman" w:hAnsi="Times New Roman" w:cs="Times New Roman"/>
          <w:b/>
          <w:bCs/>
          <w:color w:val="000000"/>
          <w:sz w:val="24"/>
          <w:szCs w:val="24"/>
        </w:rPr>
        <w:t>*23</w:t>
      </w:r>
      <w:r>
        <w:rPr>
          <w:rFonts w:ascii="Times New Roman" w:hAnsi="Times New Roman" w:cs="Times New Roman"/>
          <w:color w:val="000000"/>
          <w:sz w:val="24"/>
          <w:szCs w:val="24"/>
        </w:rPr>
        <w:t xml:space="preserve"> are given full effect, as th</w:t>
      </w:r>
      <w:r>
        <w:rPr>
          <w:rFonts w:ascii="Times New Roman" w:hAnsi="Times New Roman" w:cs="Times New Roman"/>
          <w:color w:val="000000"/>
          <w:sz w:val="24"/>
          <w:szCs w:val="24"/>
        </w:rPr>
        <w:t xml:space="preserve">e Court must do. </w:t>
      </w:r>
      <w:hyperlink r:id="rId282" w:history="1">
        <w:r>
          <w:rPr>
            <w:rFonts w:ascii="Times New Roman" w:hAnsi="Times New Roman" w:cs="Times New Roman"/>
            <w:i/>
            <w:iCs/>
            <w:color w:val="0000FF"/>
            <w:sz w:val="24"/>
            <w:szCs w:val="24"/>
          </w:rPr>
          <w:t>Branch,</w:t>
        </w:r>
      </w:hyperlink>
      <w:hyperlink r:id="rId283" w:history="1">
        <w:r>
          <w:rPr>
            <w:rFonts w:ascii="Times New Roman" w:hAnsi="Times New Roman" w:cs="Times New Roman"/>
            <w:color w:val="0000FF"/>
            <w:sz w:val="24"/>
            <w:szCs w:val="24"/>
          </w:rPr>
          <w:t xml:space="preserve"> 538 U.S. at 273</w:t>
        </w:r>
      </w:hyperlink>
      <w:r>
        <w:rPr>
          <w:rFonts w:ascii="Times New Roman" w:hAnsi="Times New Roman" w:cs="Times New Roman"/>
          <w:color w:val="000000"/>
          <w:sz w:val="24"/>
          <w:szCs w:val="24"/>
        </w:rPr>
        <w:t>.</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Allowing private parties to pursue remedies under Section 43(a) does not result in a corresponding reduction in the public safety that the FDCA is desi</w:t>
      </w:r>
      <w:r>
        <w:rPr>
          <w:rFonts w:ascii="Times New Roman" w:hAnsi="Times New Roman" w:cs="Times New Roman"/>
          <w:color w:val="000000"/>
          <w:sz w:val="24"/>
          <w:szCs w:val="24"/>
        </w:rPr>
        <w:t xml:space="preserve">gned to protect. In this case, Pom argues that </w:t>
      </w:r>
      <w:r>
        <w:rPr>
          <w:rFonts w:ascii="Times New Roman" w:hAnsi="Times New Roman" w:cs="Times New Roman"/>
          <w:color w:val="000000"/>
          <w:sz w:val="24"/>
          <w:szCs w:val="24"/>
        </w:rPr>
        <w:lastRenderedPageBreak/>
        <w:t xml:space="preserve">Coca-Cola could have complied with both the Lanham Act's and the FDA's requirements. Pet. 14. Indeed, there are also benefits to consumer safety that result from the Lanham Act. </w:t>
      </w:r>
      <w:hyperlink r:id="rId284" w:history="1">
        <w:r>
          <w:rPr>
            <w:rFonts w:ascii="Times New Roman" w:hAnsi="Times New Roman" w:cs="Times New Roman"/>
            <w:i/>
            <w:iCs/>
            <w:color w:val="0000FF"/>
            <w:sz w:val="24"/>
            <w:szCs w:val="24"/>
          </w:rPr>
          <w:t>Sche</w:t>
        </w:r>
        <w:r>
          <w:rPr>
            <w:rFonts w:ascii="Times New Roman" w:hAnsi="Times New Roman" w:cs="Times New Roman"/>
            <w:i/>
            <w:iCs/>
            <w:color w:val="0000FF"/>
            <w:sz w:val="24"/>
            <w:szCs w:val="24"/>
          </w:rPr>
          <w:t>r</w:t>
        </w:r>
        <w:r>
          <w:rPr>
            <w:rFonts w:ascii="Times New Roman" w:hAnsi="Times New Roman" w:cs="Times New Roman"/>
            <w:i/>
            <w:iCs/>
            <w:color w:val="0000FF"/>
            <w:sz w:val="24"/>
            <w:szCs w:val="24"/>
          </w:rPr>
          <w:t>ing-Plough,</w:t>
        </w:r>
      </w:hyperlink>
      <w:hyperlink r:id="rId285" w:history="1">
        <w:r>
          <w:rPr>
            <w:rFonts w:ascii="Times New Roman" w:hAnsi="Times New Roman" w:cs="Times New Roman"/>
            <w:color w:val="0000FF"/>
            <w:sz w:val="24"/>
            <w:szCs w:val="24"/>
          </w:rPr>
          <w:t xml:space="preserve"> 586 F.3d at 512</w:t>
        </w:r>
      </w:hyperlink>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w:t>
      </w:r>
      <w:r>
        <w:rPr>
          <w:rFonts w:ascii="Times New Roman" w:hAnsi="Times New Roman" w:cs="Times New Roman"/>
          <w:color w:val="000000"/>
          <w:sz w:val="24"/>
          <w:szCs w:val="24"/>
        </w:rPr>
        <w:t>[I]f no one is or could be fooled, no one is or could be hurt.</w:t>
      </w:r>
      <w:r>
        <w:rPr>
          <w:rFonts w:ascii="Times New Roman" w:hAnsi="Times New Roman" w:cs="Times New Roman"/>
          <w:color w:val="000000"/>
          <w:sz w:val="24"/>
          <w:szCs w:val="24"/>
        </w:rPr>
        <w:t>”</w:t>
      </w:r>
      <w:r>
        <w:rPr>
          <w:rFonts w:ascii="Times New Roman" w:hAnsi="Times New Roman" w:cs="Times New Roman"/>
          <w:color w:val="000000"/>
          <w:sz w:val="24"/>
          <w:szCs w:val="24"/>
        </w:rPr>
        <w:t>). Whenever a Lanham Act plaintiff is vindicated in litigation, consumers benefit because the false or misleading advertising h</w:t>
      </w:r>
      <w:r>
        <w:rPr>
          <w:rFonts w:ascii="Times New Roman" w:hAnsi="Times New Roman" w:cs="Times New Roman"/>
          <w:color w:val="000000"/>
          <w:sz w:val="24"/>
          <w:szCs w:val="24"/>
        </w:rPr>
        <w:t>as been made known to the public and in most instances is corrected. Also, the potential risk of being sued under the Lanham Act discourages businesses from using false or misleading advertising to market their products.</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II. PREVENTING PRIVATE LANHAM ACT </w:t>
      </w:r>
      <w:r>
        <w:rPr>
          <w:rFonts w:ascii="Times New Roman" w:hAnsi="Times New Roman" w:cs="Times New Roman"/>
          <w:color w:val="000000"/>
          <w:sz w:val="24"/>
          <w:szCs w:val="24"/>
        </w:rPr>
        <w:t>SUITS WOULD HAVE FAR-REACHING I</w:t>
      </w:r>
      <w:r>
        <w:rPr>
          <w:rFonts w:ascii="Times New Roman" w:hAnsi="Times New Roman" w:cs="Times New Roman"/>
          <w:color w:val="000000"/>
          <w:sz w:val="24"/>
          <w:szCs w:val="24"/>
        </w:rPr>
        <w:t>M</w:t>
      </w:r>
      <w:r>
        <w:rPr>
          <w:rFonts w:ascii="Times New Roman" w:hAnsi="Times New Roman" w:cs="Times New Roman"/>
          <w:color w:val="000000"/>
          <w:sz w:val="24"/>
          <w:szCs w:val="24"/>
        </w:rPr>
        <w:t>PLICATIONS FOR THE PROTECTION OF CONSUMERS.</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For decades, INTA has vigorously advocated in support of the Lanham Act not only because it promotes the commercial interests of its member businesses, but also because the law be</w:t>
      </w:r>
      <w:r>
        <w:rPr>
          <w:rFonts w:ascii="Times New Roman" w:hAnsi="Times New Roman" w:cs="Times New Roman"/>
          <w:color w:val="000000"/>
          <w:sz w:val="24"/>
          <w:szCs w:val="24"/>
        </w:rPr>
        <w:t>nefits the informed decision-making of the consumers who buy their products. If the Ninth Circuit's decision is allowed to stand, it would significantly diminish the statute's protection of consumers.</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It was once the view that </w:t>
      </w:r>
      <w:r>
        <w:rPr>
          <w:rFonts w:ascii="Times New Roman" w:hAnsi="Times New Roman" w:cs="Times New Roman"/>
          <w:color w:val="000000"/>
          <w:sz w:val="24"/>
          <w:szCs w:val="24"/>
        </w:rPr>
        <w:t>“</w:t>
      </w:r>
      <w:r>
        <w:rPr>
          <w:rFonts w:ascii="Times New Roman" w:hAnsi="Times New Roman" w:cs="Times New Roman"/>
          <w:color w:val="000000"/>
          <w:sz w:val="24"/>
          <w:szCs w:val="24"/>
        </w:rPr>
        <w:t>the law does not allow [the federal false advertising plaintiff] to sue as a vicarious avenger of the defendant's customers.</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*24</w:t>
      </w:r>
      <w:hyperlink r:id="rId286" w:history="1">
        <w:r>
          <w:rPr>
            <w:rFonts w:ascii="Times New Roman" w:hAnsi="Times New Roman" w:cs="Times New Roman"/>
            <w:i/>
            <w:iCs/>
            <w:color w:val="0000FF"/>
            <w:sz w:val="24"/>
            <w:szCs w:val="24"/>
          </w:rPr>
          <w:t>Ely</w:t>
        </w:r>
      </w:hyperlink>
      <w:hyperlink r:id="rId287" w:history="1">
        <w:r>
          <w:rPr>
            <w:rFonts w:ascii="Times New Roman" w:hAnsi="Times New Roman" w:cs="Times New Roman"/>
            <w:color w:val="0000FF"/>
            <w:sz w:val="24"/>
            <w:szCs w:val="24"/>
          </w:rPr>
          <w:t xml:space="preserve">- </w:t>
        </w:r>
      </w:hyperlink>
      <w:hyperlink r:id="rId288" w:history="1">
        <w:r>
          <w:rPr>
            <w:rFonts w:ascii="Times New Roman" w:hAnsi="Times New Roman" w:cs="Times New Roman"/>
            <w:i/>
            <w:iCs/>
            <w:color w:val="0000FF"/>
            <w:sz w:val="24"/>
            <w:szCs w:val="24"/>
          </w:rPr>
          <w:t>Norris Safe Co. v. Mosler Safe Co.,</w:t>
        </w:r>
      </w:hyperlink>
      <w:hyperlink r:id="rId289" w:history="1">
        <w:r>
          <w:rPr>
            <w:rFonts w:ascii="Times New Roman" w:hAnsi="Times New Roman" w:cs="Times New Roman"/>
            <w:color w:val="0000FF"/>
            <w:sz w:val="24"/>
            <w:szCs w:val="24"/>
          </w:rPr>
          <w:t xml:space="preserve"> 7 F.2d 603, 604 (2d Cir. 1925)</w:t>
        </w:r>
      </w:hyperlink>
      <w:r>
        <w:rPr>
          <w:rFonts w:ascii="Times New Roman" w:hAnsi="Times New Roman" w:cs="Times New Roman"/>
          <w:color w:val="000000"/>
          <w:sz w:val="24"/>
          <w:szCs w:val="24"/>
        </w:rPr>
        <w:t xml:space="preserve"> (Hand, L., J.), </w:t>
      </w:r>
      <w:r>
        <w:rPr>
          <w:rFonts w:ascii="Times New Roman" w:hAnsi="Times New Roman" w:cs="Times New Roman"/>
          <w:i/>
          <w:iCs/>
          <w:color w:val="000000"/>
          <w:sz w:val="24"/>
          <w:szCs w:val="24"/>
        </w:rPr>
        <w:t xml:space="preserve">rev'd on other grounds by </w:t>
      </w:r>
      <w:hyperlink r:id="rId290" w:history="1">
        <w:r>
          <w:rPr>
            <w:rFonts w:ascii="Times New Roman" w:hAnsi="Times New Roman" w:cs="Times New Roman"/>
            <w:i/>
            <w:iCs/>
            <w:color w:val="0000FF"/>
            <w:sz w:val="24"/>
            <w:szCs w:val="24"/>
          </w:rPr>
          <w:t>Mosler Safe Co. v. Ely-Norris Safe Co.,</w:t>
        </w:r>
      </w:hyperlink>
      <w:hyperlink r:id="rId291" w:history="1">
        <w:r>
          <w:rPr>
            <w:rFonts w:ascii="Times New Roman" w:hAnsi="Times New Roman" w:cs="Times New Roman"/>
            <w:color w:val="0000FF"/>
            <w:sz w:val="24"/>
            <w:szCs w:val="24"/>
          </w:rPr>
          <w:t xml:space="preserve"> 273 U.S. 132 (1927)</w:t>
        </w:r>
      </w:hyperlink>
      <w:r>
        <w:rPr>
          <w:rFonts w:ascii="Times New Roman" w:hAnsi="Times New Roman" w:cs="Times New Roman"/>
          <w:color w:val="000000"/>
          <w:sz w:val="24"/>
          <w:szCs w:val="24"/>
        </w:rPr>
        <w:t xml:space="preserve">. Today, Section 43(a)'s false advertising prohibitions are understood to </w:t>
      </w:r>
      <w:r>
        <w:rPr>
          <w:rFonts w:ascii="Times New Roman" w:hAnsi="Times New Roman" w:cs="Times New Roman"/>
          <w:color w:val="000000"/>
          <w:sz w:val="24"/>
          <w:szCs w:val="24"/>
        </w:rPr>
        <w:t>“</w:t>
      </w:r>
      <w:r>
        <w:rPr>
          <w:rFonts w:ascii="Times New Roman" w:hAnsi="Times New Roman" w:cs="Times New Roman"/>
          <w:color w:val="000000"/>
          <w:sz w:val="24"/>
          <w:szCs w:val="24"/>
        </w:rPr>
        <w:t>allow[</w:t>
      </w:r>
      <w:r>
        <w:rPr>
          <w:rFonts w:ascii="Times New Roman" w:hAnsi="Times New Roman" w:cs="Times New Roman"/>
          <w:color w:val="000000"/>
          <w:sz w:val="24"/>
          <w:szCs w:val="24"/>
        </w:rPr>
        <w:t xml:space="preserve"> ] a commercial plaintiff to act as a vicarious avenger of the consumer i</w:t>
      </w:r>
      <w:r>
        <w:rPr>
          <w:rFonts w:ascii="Times New Roman" w:hAnsi="Times New Roman" w:cs="Times New Roman"/>
          <w:color w:val="000000"/>
          <w:sz w:val="24"/>
          <w:szCs w:val="24"/>
        </w:rPr>
        <w:t>n</w:t>
      </w:r>
      <w:r>
        <w:rPr>
          <w:rFonts w:ascii="Times New Roman" w:hAnsi="Times New Roman" w:cs="Times New Roman"/>
          <w:color w:val="000000"/>
          <w:sz w:val="24"/>
          <w:szCs w:val="24"/>
        </w:rPr>
        <w:t>terest in not being deceived by false advertising.</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hyperlink r:id="rId292" w:history="1">
        <w:r>
          <w:rPr>
            <w:rFonts w:ascii="Times New Roman" w:hAnsi="Times New Roman" w:cs="Times New Roman"/>
            <w:color w:val="0000FF"/>
            <w:sz w:val="24"/>
            <w:szCs w:val="24"/>
          </w:rPr>
          <w:t>5 McCarthy on Tradem</w:t>
        </w:r>
        <w:r>
          <w:rPr>
            <w:rFonts w:ascii="Times New Roman" w:hAnsi="Times New Roman" w:cs="Times New Roman"/>
            <w:color w:val="0000FF"/>
            <w:sz w:val="24"/>
            <w:szCs w:val="24"/>
          </w:rPr>
          <w:t>arks and Unfair Co</w:t>
        </w:r>
        <w:r>
          <w:rPr>
            <w:rFonts w:ascii="Times New Roman" w:hAnsi="Times New Roman" w:cs="Times New Roman"/>
            <w:color w:val="0000FF"/>
            <w:sz w:val="24"/>
            <w:szCs w:val="24"/>
          </w:rPr>
          <w:t>m</w:t>
        </w:r>
        <w:r>
          <w:rPr>
            <w:rFonts w:ascii="Times New Roman" w:hAnsi="Times New Roman" w:cs="Times New Roman"/>
            <w:color w:val="0000FF"/>
            <w:sz w:val="24"/>
            <w:szCs w:val="24"/>
          </w:rPr>
          <w:t>petition § 27:2 (4th ed. 2009)</w:t>
        </w:r>
      </w:hyperlink>
      <w:r>
        <w:rPr>
          <w:rFonts w:ascii="Times New Roman" w:hAnsi="Times New Roman" w:cs="Times New Roman"/>
          <w:color w:val="000000"/>
          <w:sz w:val="24"/>
          <w:szCs w:val="24"/>
        </w:rPr>
        <w:t>.</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Pr>
          <w:rFonts w:ascii="Times New Roman" w:hAnsi="Times New Roman" w:cs="Times New Roman"/>
          <w:color w:val="000000"/>
          <w:sz w:val="24"/>
          <w:szCs w:val="24"/>
        </w:rPr>
        <w:t>While unarticulated in the Act itself,</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Section 43(a)'s purpose includes the </w:t>
      </w:r>
      <w:r>
        <w:rPr>
          <w:rFonts w:ascii="Times New Roman" w:hAnsi="Times New Roman" w:cs="Times New Roman"/>
          <w:color w:val="000000"/>
          <w:sz w:val="24"/>
          <w:szCs w:val="24"/>
        </w:rPr>
        <w:t>“</w:t>
      </w:r>
      <w:r>
        <w:rPr>
          <w:rFonts w:ascii="Times New Roman" w:hAnsi="Times New Roman" w:cs="Times New Roman"/>
          <w:color w:val="000000"/>
          <w:sz w:val="24"/>
          <w:szCs w:val="24"/>
        </w:rPr>
        <w:t>protection of the consuming public from false representations and descriptions in connection with the advertising of goods</w:t>
      </w:r>
      <w:r>
        <w:rPr>
          <w:rFonts w:ascii="Times New Roman" w:hAnsi="Times New Roman" w:cs="Times New Roman"/>
          <w:color w:val="000000"/>
          <w:sz w:val="24"/>
          <w:szCs w:val="24"/>
        </w:rPr>
        <w:t xml:space="preserve"> and services.</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hyperlink r:id="rId293" w:history="1">
        <w:r>
          <w:rPr>
            <w:rFonts w:ascii="Times New Roman" w:hAnsi="Times New Roman" w:cs="Times New Roman"/>
            <w:i/>
            <w:iCs/>
            <w:color w:val="0000FF"/>
            <w:sz w:val="24"/>
            <w:szCs w:val="24"/>
          </w:rPr>
          <w:t>Ames Pub. Co. v. Walker-Davis Publ'ns, Inc.,</w:t>
        </w:r>
      </w:hyperlink>
      <w:hyperlink r:id="rId294" w:history="1">
        <w:r>
          <w:rPr>
            <w:rFonts w:ascii="Times New Roman" w:hAnsi="Times New Roman" w:cs="Times New Roman"/>
            <w:color w:val="0000FF"/>
            <w:sz w:val="24"/>
            <w:szCs w:val="24"/>
          </w:rPr>
          <w:t xml:space="preserve"> 372 F. Supp. 1, 13-14 (E.D. Pa. 1974)</w:t>
        </w:r>
      </w:hyperlink>
      <w:r>
        <w:rPr>
          <w:rFonts w:ascii="Times New Roman" w:hAnsi="Times New Roman" w:cs="Times New Roman"/>
          <w:color w:val="000000"/>
          <w:sz w:val="24"/>
          <w:szCs w:val="24"/>
        </w:rPr>
        <w:t xml:space="preserve">; </w:t>
      </w:r>
      <w:hyperlink r:id="rId295" w:history="1">
        <w:r>
          <w:rPr>
            <w:rFonts w:ascii="Times New Roman" w:hAnsi="Times New Roman" w:cs="Times New Roman"/>
            <w:i/>
            <w:iCs/>
            <w:color w:val="0000FF"/>
            <w:sz w:val="24"/>
            <w:szCs w:val="24"/>
          </w:rPr>
          <w:t>U-Haul Int'l, Inc. v. Jartran, Inc.,</w:t>
        </w:r>
      </w:hyperlink>
      <w:hyperlink r:id="rId296" w:history="1">
        <w:r>
          <w:rPr>
            <w:rFonts w:ascii="Times New Roman" w:hAnsi="Times New Roman" w:cs="Times New Roman"/>
            <w:color w:val="0000FF"/>
            <w:sz w:val="24"/>
            <w:szCs w:val="24"/>
          </w:rPr>
          <w:t xml:space="preserve"> 681 F.2d 1159, 1162 (9th Cir. 1982)</w:t>
        </w:r>
      </w:hyperlink>
      <w:r>
        <w:rPr>
          <w:rFonts w:ascii="Times New Roman" w:hAnsi="Times New Roman" w:cs="Times New Roman"/>
          <w:color w:val="000000"/>
          <w:sz w:val="24"/>
          <w:szCs w:val="24"/>
        </w:rPr>
        <w:t xml:space="preserve"> (noting that the Lanham Act is directed toward protecting the consumer as well as business from false and d</w:t>
      </w:r>
      <w:r>
        <w:rPr>
          <w:rFonts w:ascii="Times New Roman" w:hAnsi="Times New Roman" w:cs="Times New Roman"/>
          <w:color w:val="000000"/>
          <w:sz w:val="24"/>
          <w:szCs w:val="24"/>
        </w:rPr>
        <w:t>e</w:t>
      </w:r>
      <w:r>
        <w:rPr>
          <w:rFonts w:ascii="Times New Roman" w:hAnsi="Times New Roman" w:cs="Times New Roman"/>
          <w:color w:val="000000"/>
          <w:sz w:val="24"/>
          <w:szCs w:val="24"/>
        </w:rPr>
        <w:t xml:space="preserve">ceptive advertising, and observing that Congress intended </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w:t>
      </w:r>
      <w:r>
        <w:rPr>
          <w:rFonts w:ascii="Times New Roman" w:hAnsi="Times New Roman" w:cs="Times New Roman"/>
          <w:color w:val="000000"/>
          <w:sz w:val="24"/>
          <w:szCs w:val="24"/>
        </w:rPr>
        <w:t>to protect the public from imposition by the u</w:t>
      </w:r>
      <w:r>
        <w:rPr>
          <w:rFonts w:ascii="Times New Roman" w:hAnsi="Times New Roman" w:cs="Times New Roman"/>
          <w:color w:val="000000"/>
          <w:sz w:val="24"/>
          <w:szCs w:val="24"/>
        </w:rPr>
        <w:t>se of *** false trade descriptions.</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(internal citation omitted). The policy behind the Lanham Act is </w:t>
      </w:r>
      <w:r>
        <w:rPr>
          <w:rFonts w:ascii="Times New Roman" w:hAnsi="Times New Roman" w:cs="Times New Roman"/>
          <w:color w:val="000000"/>
          <w:sz w:val="24"/>
          <w:szCs w:val="24"/>
        </w:rPr>
        <w:t>“</w:t>
      </w:r>
      <w:r>
        <w:rPr>
          <w:rFonts w:ascii="Times New Roman" w:hAnsi="Times New Roman" w:cs="Times New Roman"/>
          <w:color w:val="000000"/>
          <w:sz w:val="24"/>
          <w:szCs w:val="24"/>
        </w:rPr>
        <w:t>to balance the protection of consumers from confusion, against the desired free competition within the market place.</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hyperlink r:id="rId297" w:history="1">
        <w:r>
          <w:rPr>
            <w:rFonts w:ascii="Times New Roman" w:hAnsi="Times New Roman" w:cs="Times New Roman"/>
            <w:i/>
            <w:iCs/>
            <w:color w:val="0000FF"/>
            <w:sz w:val="24"/>
            <w:szCs w:val="24"/>
          </w:rPr>
          <w:t>Goddard, Inc. v. Henry's Foods, Inc.,</w:t>
        </w:r>
      </w:hyperlink>
      <w:hyperlink r:id="rId298" w:history="1">
        <w:r>
          <w:rPr>
            <w:rFonts w:ascii="Times New Roman" w:hAnsi="Times New Roman" w:cs="Times New Roman"/>
            <w:color w:val="0000FF"/>
            <w:sz w:val="24"/>
            <w:szCs w:val="24"/>
          </w:rPr>
          <w:t xml:space="preserve"> 291 F. Supp. 2d 1021, 1049 (D. Minn. 2003)</w:t>
        </w:r>
      </w:hyperlink>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 xml:space="preserve">see also </w:t>
      </w:r>
      <w:hyperlink r:id="rId299" w:history="1">
        <w:r>
          <w:rPr>
            <w:rFonts w:ascii="Times New Roman" w:hAnsi="Times New Roman" w:cs="Times New Roman"/>
            <w:i/>
            <w:iCs/>
            <w:color w:val="0000FF"/>
            <w:sz w:val="24"/>
            <w:szCs w:val="24"/>
          </w:rPr>
          <w:t>Coca-Cola Co.,</w:t>
        </w:r>
      </w:hyperlink>
      <w:hyperlink r:id="rId300" w:history="1">
        <w:r>
          <w:rPr>
            <w:rFonts w:ascii="Times New Roman" w:hAnsi="Times New Roman" w:cs="Times New Roman"/>
            <w:color w:val="0000FF"/>
            <w:sz w:val="24"/>
            <w:szCs w:val="24"/>
          </w:rPr>
          <w:t xml:space="preserve"> 822 F.2d at 31</w:t>
        </w:r>
      </w:hyperlink>
      <w:r>
        <w:rPr>
          <w:rFonts w:ascii="Times New Roman" w:hAnsi="Times New Roman" w:cs="Times New Roman"/>
          <w:color w:val="000000"/>
          <w:sz w:val="24"/>
          <w:szCs w:val="24"/>
        </w:rPr>
        <w:t xml:space="preserve"> (stating that </w:t>
      </w:r>
      <w:r>
        <w:rPr>
          <w:rFonts w:ascii="Times New Roman" w:hAnsi="Times New Roman" w:cs="Times New Roman"/>
          <w:color w:val="000000"/>
          <w:sz w:val="24"/>
          <w:szCs w:val="24"/>
        </w:rPr>
        <w:t>“</w:t>
      </w:r>
      <w:r>
        <w:rPr>
          <w:rFonts w:ascii="Times New Roman" w:hAnsi="Times New Roman" w:cs="Times New Roman"/>
          <w:color w:val="000000"/>
          <w:sz w:val="24"/>
          <w:szCs w:val="24"/>
        </w:rPr>
        <w:t>[p]rotecting co</w:t>
      </w:r>
      <w:r>
        <w:rPr>
          <w:rFonts w:ascii="Times New Roman" w:hAnsi="Times New Roman" w:cs="Times New Roman"/>
          <w:color w:val="000000"/>
          <w:sz w:val="24"/>
          <w:szCs w:val="24"/>
        </w:rPr>
        <w:t>n</w:t>
      </w:r>
      <w:r>
        <w:rPr>
          <w:rFonts w:ascii="Times New Roman" w:hAnsi="Times New Roman" w:cs="Times New Roman"/>
          <w:color w:val="000000"/>
          <w:sz w:val="24"/>
          <w:szCs w:val="24"/>
        </w:rPr>
        <w:t xml:space="preserve">sumers from </w:t>
      </w:r>
      <w:r>
        <w:rPr>
          <w:rFonts w:ascii="Times New Roman" w:hAnsi="Times New Roman" w:cs="Times New Roman"/>
          <w:color w:val="000000"/>
          <w:sz w:val="24"/>
          <w:szCs w:val="24"/>
        </w:rPr>
        <w:t>false or misleading advertising *** is an important goal of the statute and a laudable public policy to be served</w:t>
      </w:r>
      <w:r>
        <w:rPr>
          <w:rFonts w:ascii="Times New Roman" w:hAnsi="Times New Roman" w:cs="Times New Roman"/>
          <w:color w:val="000000"/>
          <w:sz w:val="24"/>
          <w:szCs w:val="24"/>
        </w:rPr>
        <w:t>”</w:t>
      </w:r>
      <w:r>
        <w:rPr>
          <w:rFonts w:ascii="Times New Roman" w:hAnsi="Times New Roman" w:cs="Times New Roman"/>
          <w:color w:val="000000"/>
          <w:sz w:val="24"/>
          <w:szCs w:val="24"/>
        </w:rPr>
        <w:t>). Thus, when the Ninth Circuit precluded private parties from cha</w:t>
      </w:r>
      <w:r>
        <w:rPr>
          <w:rFonts w:ascii="Times New Roman" w:hAnsi="Times New Roman" w:cs="Times New Roman"/>
          <w:color w:val="000000"/>
          <w:sz w:val="24"/>
          <w:szCs w:val="24"/>
        </w:rPr>
        <w:t>l</w:t>
      </w:r>
      <w:r>
        <w:rPr>
          <w:rFonts w:ascii="Times New Roman" w:hAnsi="Times New Roman" w:cs="Times New Roman"/>
          <w:color w:val="000000"/>
          <w:sz w:val="24"/>
          <w:szCs w:val="24"/>
        </w:rPr>
        <w:lastRenderedPageBreak/>
        <w:t>lenging false and misleading advertising under the Lanham Act, it also elim</w:t>
      </w:r>
      <w:r>
        <w:rPr>
          <w:rFonts w:ascii="Times New Roman" w:hAnsi="Times New Roman" w:cs="Times New Roman"/>
          <w:color w:val="000000"/>
          <w:sz w:val="24"/>
          <w:szCs w:val="24"/>
        </w:rPr>
        <w:t>inated businesses' ability to protect consumers.</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*25</w:t>
      </w:r>
      <w:r>
        <w:rPr>
          <w:rFonts w:ascii="Times New Roman" w:hAnsi="Times New Roman" w:cs="Times New Roman"/>
          <w:color w:val="000000"/>
          <w:sz w:val="24"/>
          <w:szCs w:val="24"/>
        </w:rPr>
        <w:t xml:space="preserve"> The court of appeals decision most immediately and directly affects the labeling of food and beverage items. Eliminating Lanham Act claims means leaving more policing of misbranded foods to the FDA. As </w:t>
      </w:r>
      <w:r>
        <w:rPr>
          <w:rFonts w:ascii="Times New Roman" w:hAnsi="Times New Roman" w:cs="Times New Roman"/>
          <w:color w:val="000000"/>
          <w:sz w:val="24"/>
          <w:szCs w:val="24"/>
        </w:rPr>
        <w:t xml:space="preserve">Pom has highlighted, </w:t>
      </w:r>
      <w:r>
        <w:rPr>
          <w:rFonts w:ascii="Times New Roman" w:hAnsi="Times New Roman" w:cs="Times New Roman"/>
          <w:i/>
          <w:iCs/>
          <w:color w:val="000000"/>
          <w:sz w:val="24"/>
          <w:szCs w:val="24"/>
        </w:rPr>
        <w:t>see</w:t>
      </w:r>
      <w:r>
        <w:rPr>
          <w:rFonts w:ascii="Times New Roman" w:hAnsi="Times New Roman" w:cs="Times New Roman"/>
          <w:color w:val="000000"/>
          <w:sz w:val="24"/>
          <w:szCs w:val="24"/>
        </w:rPr>
        <w:t xml:space="preserve"> Pet. 25-27, the Government Accountability Office (</w:t>
      </w:r>
      <w:r>
        <w:rPr>
          <w:rFonts w:ascii="Times New Roman" w:hAnsi="Times New Roman" w:cs="Times New Roman"/>
          <w:color w:val="000000"/>
          <w:sz w:val="24"/>
          <w:szCs w:val="24"/>
        </w:rPr>
        <w:t>“</w:t>
      </w:r>
      <w:r>
        <w:rPr>
          <w:rFonts w:ascii="Times New Roman" w:hAnsi="Times New Roman" w:cs="Times New Roman"/>
          <w:color w:val="000000"/>
          <w:sz w:val="24"/>
          <w:szCs w:val="24"/>
        </w:rPr>
        <w:t>GAO</w:t>
      </w:r>
      <w:r>
        <w:rPr>
          <w:rFonts w:ascii="Times New Roman" w:hAnsi="Times New Roman" w:cs="Times New Roman"/>
          <w:color w:val="000000"/>
          <w:sz w:val="24"/>
          <w:szCs w:val="24"/>
        </w:rPr>
        <w:t>”</w:t>
      </w:r>
      <w:r>
        <w:rPr>
          <w:rFonts w:ascii="Times New Roman" w:hAnsi="Times New Roman" w:cs="Times New Roman"/>
          <w:color w:val="000000"/>
          <w:sz w:val="24"/>
          <w:szCs w:val="24"/>
        </w:rPr>
        <w:t>) has specifically recognized that the FDA's efforts to regulate food labeling leave si</w:t>
      </w:r>
      <w:r>
        <w:rPr>
          <w:rFonts w:ascii="Times New Roman" w:hAnsi="Times New Roman" w:cs="Times New Roman"/>
          <w:color w:val="000000"/>
          <w:sz w:val="24"/>
          <w:szCs w:val="24"/>
        </w:rPr>
        <w:t>g</w:t>
      </w:r>
      <w:r>
        <w:rPr>
          <w:rFonts w:ascii="Times New Roman" w:hAnsi="Times New Roman" w:cs="Times New Roman"/>
          <w:color w:val="000000"/>
          <w:sz w:val="24"/>
          <w:szCs w:val="24"/>
        </w:rPr>
        <w:t>nificant gaps, that the FDA is understaffed and underfunded, and that it was not aggress</w:t>
      </w:r>
      <w:r>
        <w:rPr>
          <w:rFonts w:ascii="Times New Roman" w:hAnsi="Times New Roman" w:cs="Times New Roman"/>
          <w:color w:val="000000"/>
          <w:sz w:val="24"/>
          <w:szCs w:val="24"/>
        </w:rPr>
        <w:t>ively p</w:t>
      </w:r>
      <w:r>
        <w:rPr>
          <w:rFonts w:ascii="Times New Roman" w:hAnsi="Times New Roman" w:cs="Times New Roman"/>
          <w:color w:val="000000"/>
          <w:sz w:val="24"/>
          <w:szCs w:val="24"/>
        </w:rPr>
        <w:t>o</w:t>
      </w:r>
      <w:r>
        <w:rPr>
          <w:rFonts w:ascii="Times New Roman" w:hAnsi="Times New Roman" w:cs="Times New Roman"/>
          <w:color w:val="000000"/>
          <w:sz w:val="24"/>
          <w:szCs w:val="24"/>
        </w:rPr>
        <w:t xml:space="preserve">licing food labeling. Precluding private parties from challenging food labels under the Lanham Act will have the practical effect of leaving food labels almost entirely unregulated. Pet. 27. The FDA </w:t>
      </w:r>
      <w:r>
        <w:rPr>
          <w:rFonts w:ascii="Times New Roman" w:hAnsi="Times New Roman" w:cs="Times New Roman"/>
          <w:color w:val="000000"/>
          <w:sz w:val="24"/>
          <w:szCs w:val="24"/>
        </w:rPr>
        <w:t>“</w:t>
      </w:r>
      <w:r>
        <w:rPr>
          <w:rFonts w:ascii="Times New Roman" w:hAnsi="Times New Roman" w:cs="Times New Roman"/>
          <w:color w:val="000000"/>
          <w:sz w:val="24"/>
          <w:szCs w:val="24"/>
        </w:rPr>
        <w:t>generally does not address misleading food label</w:t>
      </w:r>
      <w:r>
        <w:rPr>
          <w:rFonts w:ascii="Times New Roman" w:hAnsi="Times New Roman" w:cs="Times New Roman"/>
          <w:color w:val="000000"/>
          <w:sz w:val="24"/>
          <w:szCs w:val="24"/>
        </w:rPr>
        <w:t>ing because it lacks the resources to conduct the substantive, empirical research on consumer perceptions that it believes it would need to legally demonstrate that a label is misleading.</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GAO 08-597, </w:t>
      </w:r>
      <w:r>
        <w:rPr>
          <w:rFonts w:ascii="Times New Roman" w:hAnsi="Times New Roman" w:cs="Times New Roman"/>
          <w:i/>
          <w:iCs/>
          <w:color w:val="000000"/>
          <w:sz w:val="24"/>
          <w:szCs w:val="24"/>
        </w:rPr>
        <w:t>Food Labeling: FDA Needs to Better Le</w:t>
      </w:r>
      <w:r>
        <w:rPr>
          <w:rFonts w:ascii="Times New Roman" w:hAnsi="Times New Roman" w:cs="Times New Roman"/>
          <w:i/>
          <w:iCs/>
          <w:color w:val="000000"/>
          <w:sz w:val="24"/>
          <w:szCs w:val="24"/>
        </w:rPr>
        <w:t>v</w:t>
      </w:r>
      <w:r>
        <w:rPr>
          <w:rFonts w:ascii="Times New Roman" w:hAnsi="Times New Roman" w:cs="Times New Roman"/>
          <w:i/>
          <w:iCs/>
          <w:color w:val="000000"/>
          <w:sz w:val="24"/>
          <w:szCs w:val="24"/>
        </w:rPr>
        <w:t xml:space="preserve">erage Resources, </w:t>
      </w:r>
      <w:r>
        <w:rPr>
          <w:rFonts w:ascii="Times New Roman" w:hAnsi="Times New Roman" w:cs="Times New Roman"/>
          <w:i/>
          <w:iCs/>
          <w:color w:val="000000"/>
          <w:sz w:val="24"/>
          <w:szCs w:val="24"/>
        </w:rPr>
        <w:t>Improve Oversight, and Effectively Use Available Data to Help Consumers Select Healthy Foods</w:t>
      </w:r>
      <w:r>
        <w:rPr>
          <w:rFonts w:ascii="Times New Roman" w:hAnsi="Times New Roman" w:cs="Times New Roman"/>
          <w:color w:val="000000"/>
          <w:sz w:val="24"/>
          <w:szCs w:val="24"/>
        </w:rPr>
        <w:t xml:space="preserve"> 30 (2008) (www.gao.gov/assets/290/280466.pdf).</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Although the court of appeals limited its holding to </w:t>
      </w:r>
      <w:r>
        <w:rPr>
          <w:rFonts w:ascii="Times New Roman" w:hAnsi="Times New Roman" w:cs="Times New Roman"/>
          <w:color w:val="000000"/>
          <w:sz w:val="24"/>
          <w:szCs w:val="24"/>
        </w:rPr>
        <w:t>“</w:t>
      </w:r>
      <w:r>
        <w:rPr>
          <w:rFonts w:ascii="Times New Roman" w:hAnsi="Times New Roman" w:cs="Times New Roman"/>
          <w:color w:val="000000"/>
          <w:sz w:val="24"/>
          <w:szCs w:val="24"/>
        </w:rPr>
        <w:t>matters of juice beverage labeling,</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Pet. App. 12a, the defer</w:t>
      </w:r>
      <w:r>
        <w:rPr>
          <w:rFonts w:ascii="Times New Roman" w:hAnsi="Times New Roman" w:cs="Times New Roman"/>
          <w:color w:val="000000"/>
          <w:sz w:val="24"/>
          <w:szCs w:val="24"/>
        </w:rPr>
        <w:t>ence given to the FDA's unexercised authority would arguably preclude a Lanham Act challenge to the label of any food, including foods that the FDA has not yet specifically a</w:t>
      </w:r>
      <w:r>
        <w:rPr>
          <w:rFonts w:ascii="Times New Roman" w:hAnsi="Times New Roman" w:cs="Times New Roman"/>
          <w:color w:val="000000"/>
          <w:sz w:val="24"/>
          <w:szCs w:val="24"/>
        </w:rPr>
        <w:t>d</w:t>
      </w:r>
      <w:r>
        <w:rPr>
          <w:rFonts w:ascii="Times New Roman" w:hAnsi="Times New Roman" w:cs="Times New Roman"/>
          <w:color w:val="000000"/>
          <w:sz w:val="24"/>
          <w:szCs w:val="24"/>
        </w:rPr>
        <w:t xml:space="preserve">dressed by regulation at all. </w:t>
      </w:r>
      <w:r>
        <w:rPr>
          <w:rFonts w:ascii="Times New Roman" w:hAnsi="Times New Roman" w:cs="Times New Roman"/>
          <w:i/>
          <w:iCs/>
          <w:color w:val="000000"/>
          <w:sz w:val="24"/>
          <w:szCs w:val="24"/>
        </w:rPr>
        <w:t>See</w:t>
      </w:r>
      <w:r>
        <w:rPr>
          <w:rFonts w:ascii="Times New Roman" w:hAnsi="Times New Roman" w:cs="Times New Roman"/>
          <w:color w:val="000000"/>
          <w:sz w:val="24"/>
          <w:szCs w:val="24"/>
        </w:rPr>
        <w:t xml:space="preserve"> U.S. Amicus Br. 12.</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The problem could be broad</w:t>
      </w:r>
      <w:r>
        <w:rPr>
          <w:rFonts w:ascii="Times New Roman" w:hAnsi="Times New Roman" w:cs="Times New Roman"/>
          <w:color w:val="000000"/>
          <w:sz w:val="24"/>
          <w:szCs w:val="24"/>
        </w:rPr>
        <w:t>er still, as the court of appeals' reasoning could extend to other age</w:t>
      </w:r>
      <w:r>
        <w:rPr>
          <w:rFonts w:ascii="Times New Roman" w:hAnsi="Times New Roman" w:cs="Times New Roman"/>
          <w:color w:val="000000"/>
          <w:sz w:val="24"/>
          <w:szCs w:val="24"/>
        </w:rPr>
        <w:t>n</w:t>
      </w:r>
      <w:r>
        <w:rPr>
          <w:rFonts w:ascii="Times New Roman" w:hAnsi="Times New Roman" w:cs="Times New Roman"/>
          <w:color w:val="000000"/>
          <w:sz w:val="24"/>
          <w:szCs w:val="24"/>
        </w:rPr>
        <w:t xml:space="preserve">cies. One district court has already applied the Ninth Circuit's decision to the USDA. </w:t>
      </w:r>
      <w:r>
        <w:rPr>
          <w:rFonts w:ascii="Times New Roman" w:hAnsi="Times New Roman" w:cs="Times New Roman"/>
          <w:i/>
          <w:iCs/>
          <w:color w:val="000000"/>
          <w:sz w:val="24"/>
          <w:szCs w:val="24"/>
        </w:rPr>
        <w:t xml:space="preserve">See </w:t>
      </w:r>
      <w:r>
        <w:rPr>
          <w:rFonts w:ascii="Times New Roman" w:hAnsi="Times New Roman" w:cs="Times New Roman"/>
          <w:b/>
          <w:bCs/>
          <w:color w:val="000000"/>
          <w:sz w:val="24"/>
          <w:szCs w:val="24"/>
        </w:rPr>
        <w:t>*26</w:t>
      </w:r>
      <w:hyperlink r:id="rId301" w:history="1">
        <w:r>
          <w:rPr>
            <w:rFonts w:ascii="Times New Roman" w:hAnsi="Times New Roman" w:cs="Times New Roman"/>
            <w:i/>
            <w:iCs/>
            <w:color w:val="0000FF"/>
            <w:sz w:val="24"/>
            <w:szCs w:val="24"/>
          </w:rPr>
          <w:t>All One God Faith, Inc. v. Hain Celestial Grp., Inc.,</w:t>
        </w:r>
      </w:hyperlink>
      <w:hyperlink r:id="rId302" w:history="1">
        <w:r>
          <w:rPr>
            <w:rFonts w:ascii="Times New Roman" w:hAnsi="Times New Roman" w:cs="Times New Roman"/>
            <w:color w:val="0000FF"/>
            <w:sz w:val="24"/>
            <w:szCs w:val="24"/>
          </w:rPr>
          <w:t xml:space="preserve"> No. 09-3517, 2012 WL 3257660, at *1-11 (N.D. Cal. Aug. 8, 2012)</w:t>
        </w:r>
      </w:hyperlink>
      <w:r>
        <w:rPr>
          <w:rFonts w:ascii="Times New Roman" w:hAnsi="Times New Roman" w:cs="Times New Roman"/>
          <w:color w:val="000000"/>
          <w:sz w:val="24"/>
          <w:szCs w:val="24"/>
        </w:rPr>
        <w:t xml:space="preserve"> (pr</w:t>
      </w:r>
      <w:r>
        <w:rPr>
          <w:rFonts w:ascii="Times New Roman" w:hAnsi="Times New Roman" w:cs="Times New Roman"/>
          <w:color w:val="000000"/>
          <w:sz w:val="24"/>
          <w:szCs w:val="24"/>
        </w:rPr>
        <w:t xml:space="preserve">ecluding Lanham Act claim challenging the labeling of personal care and cosmetic products as </w:t>
      </w:r>
      <w:r>
        <w:rPr>
          <w:rFonts w:ascii="Times New Roman" w:hAnsi="Times New Roman" w:cs="Times New Roman"/>
          <w:color w:val="000000"/>
          <w:sz w:val="24"/>
          <w:szCs w:val="24"/>
        </w:rPr>
        <w:t>“</w:t>
      </w:r>
      <w:r>
        <w:rPr>
          <w:rFonts w:ascii="Times New Roman" w:hAnsi="Times New Roman" w:cs="Times New Roman"/>
          <w:color w:val="000000"/>
          <w:sz w:val="24"/>
          <w:szCs w:val="24"/>
        </w:rPr>
        <w:t>organic</w:t>
      </w:r>
      <w:r>
        <w:rPr>
          <w:rFonts w:ascii="Times New Roman" w:hAnsi="Times New Roman" w:cs="Times New Roman"/>
          <w:color w:val="000000"/>
          <w:sz w:val="24"/>
          <w:szCs w:val="24"/>
        </w:rPr>
        <w:t>”</w:t>
      </w:r>
      <w:r>
        <w:rPr>
          <w:rFonts w:ascii="Times New Roman" w:hAnsi="Times New Roman" w:cs="Times New Roman"/>
          <w:color w:val="000000"/>
          <w:sz w:val="24"/>
          <w:szCs w:val="24"/>
        </w:rPr>
        <w:t xml:space="preserve"> in light of the USDA's regulation of such products under the O</w:t>
      </w:r>
      <w:r>
        <w:rPr>
          <w:rFonts w:ascii="Times New Roman" w:hAnsi="Times New Roman" w:cs="Times New Roman"/>
          <w:color w:val="000000"/>
          <w:sz w:val="24"/>
          <w:szCs w:val="24"/>
        </w:rPr>
        <w:t>r</w:t>
      </w:r>
      <w:r>
        <w:rPr>
          <w:rFonts w:ascii="Times New Roman" w:hAnsi="Times New Roman" w:cs="Times New Roman"/>
          <w:color w:val="000000"/>
          <w:sz w:val="24"/>
          <w:szCs w:val="24"/>
        </w:rPr>
        <w:t>ganic Food Products Act of 1990).</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While the reach of the Ninth Circuit's broad reasoning </w:t>
      </w:r>
      <w:r>
        <w:rPr>
          <w:rFonts w:ascii="Times New Roman" w:hAnsi="Times New Roman" w:cs="Times New Roman"/>
          <w:color w:val="000000"/>
          <w:sz w:val="24"/>
          <w:szCs w:val="24"/>
        </w:rPr>
        <w:t>is still unknown, any preclusion of Lanham Act claims on the grounds identified by that court is too high of a price for consumers to pay. Congress enacted Section 43(a) of the Lanham Act and the FDCA for different, although in many ways complementary, pur</w:t>
      </w:r>
      <w:r>
        <w:rPr>
          <w:rFonts w:ascii="Times New Roman" w:hAnsi="Times New Roman" w:cs="Times New Roman"/>
          <w:color w:val="000000"/>
          <w:sz w:val="24"/>
          <w:szCs w:val="24"/>
        </w:rPr>
        <w:t>poses. This Court should give them full effect and restore to the nation's businesses and consumers the much-needed protection against the ills of false and misleading advertising.</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b/>
          <w:bCs/>
          <w:color w:val="000000"/>
          <w:sz w:val="24"/>
          <w:szCs w:val="24"/>
        </w:rPr>
        <w:t>*27</w:t>
      </w:r>
      <w:r>
        <w:rPr>
          <w:rFonts w:ascii="Times New Roman" w:hAnsi="Times New Roman" w:cs="Times New Roman"/>
          <w:color w:val="000000"/>
          <w:sz w:val="24"/>
          <w:szCs w:val="24"/>
        </w:rPr>
        <w:t xml:space="preserve"> CONCLUSION</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For the foregoing reasons, the Court should reverse the ju</w:t>
      </w:r>
      <w:r>
        <w:rPr>
          <w:rFonts w:ascii="Times New Roman" w:hAnsi="Times New Roman" w:cs="Times New Roman"/>
          <w:color w:val="000000"/>
          <w:sz w:val="24"/>
          <w:szCs w:val="24"/>
        </w:rPr>
        <w:t>dgment below.</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Pom Wonderful LLC v. The Coca-Cola Company</w:t>
      </w:r>
    </w:p>
    <w:p w:rsidR="00000000" w:rsidRDefault="0030006E">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2014 WL 844597 (U.S. ) (Appellate Brief )</w:t>
      </w:r>
    </w:p>
    <w:p w:rsidR="00000000" w:rsidRDefault="0030006E">
      <w:pPr>
        <w:widowControl w:val="0"/>
        <w:autoSpaceDE w:val="0"/>
        <w:autoSpaceDN w:val="0"/>
        <w:adjustRightInd w:val="0"/>
        <w:spacing w:after="0" w:line="288" w:lineRule="auto"/>
        <w:rPr>
          <w:rFonts w:ascii="Times New Roman" w:hAnsi="Times New Roman" w:cs="Times New Roman"/>
          <w:color w:val="000000"/>
          <w:sz w:val="24"/>
          <w:szCs w:val="24"/>
        </w:rPr>
      </w:pPr>
    </w:p>
    <w:p w:rsidR="00000000" w:rsidRPr="00FD504F" w:rsidRDefault="00FD504F" w:rsidP="00FD504F">
      <w:pPr>
        <w:widowControl w:val="0"/>
        <w:autoSpaceDE w:val="0"/>
        <w:autoSpaceDN w:val="0"/>
        <w:adjustRightInd w:val="0"/>
        <w:spacing w:after="0" w:line="288" w:lineRule="auto"/>
        <w:jc w:val="both"/>
        <w:rPr>
          <w:rFonts w:ascii="Times New Roman" w:hAnsi="Times New Roman" w:cs="Times New Roman"/>
          <w:color w:val="000000"/>
          <w:sz w:val="24"/>
          <w:szCs w:val="24"/>
        </w:rPr>
        <w:sectPr w:rsidR="00000000" w:rsidRPr="00FD504F">
          <w:type w:val="continuous"/>
          <w:pgSz w:w="12240" w:h="15840"/>
          <w:pgMar w:top="2016" w:right="1440" w:bottom="1800" w:left="1440" w:header="720" w:footer="720" w:gutter="0"/>
          <w:cols w:space="720"/>
          <w:noEndnote/>
        </w:sectPr>
      </w:pPr>
      <w:r>
        <w:rPr>
          <w:rFonts w:ascii="Times New Roman" w:hAnsi="Times New Roman" w:cs="Times New Roman"/>
          <w:color w:val="000000"/>
          <w:sz w:val="24"/>
          <w:szCs w:val="24"/>
        </w:rPr>
        <w:t>END OF DOCUMENT</w:t>
      </w:r>
      <w:bookmarkStart w:id="1" w:name="_GoBack"/>
      <w:bookmarkEnd w:id="1"/>
    </w:p>
    <w:p w:rsidR="00000000" w:rsidRDefault="0030006E">
      <w:pPr>
        <w:widowControl w:val="0"/>
        <w:autoSpaceDE w:val="0"/>
        <w:autoSpaceDN w:val="0"/>
        <w:adjustRightInd w:val="0"/>
        <w:spacing w:after="0" w:line="240" w:lineRule="auto"/>
        <w:rPr>
          <w:rFonts w:ascii="Times New Roman" w:hAnsi="Times New Roman" w:cs="Times New Roman"/>
          <w:sz w:val="24"/>
          <w:szCs w:val="24"/>
        </w:rPr>
        <w:sectPr w:rsidR="00000000">
          <w:headerReference w:type="default" r:id="rId303"/>
          <w:footerReference w:type="default" r:id="rId304"/>
          <w:pgSz w:w="12240" w:h="15840"/>
          <w:pgMar w:top="2520" w:right="1440" w:bottom="1800" w:left="1440" w:header="720" w:footer="720" w:gutter="0"/>
          <w:pgNumType w:start="1"/>
          <w:cols w:space="720"/>
          <w:noEndnote/>
        </w:sectPr>
      </w:pPr>
    </w:p>
    <w:p w:rsidR="0030006E" w:rsidRDefault="0030006E" w:rsidP="00FD504F">
      <w:pPr>
        <w:widowControl w:val="0"/>
        <w:autoSpaceDE w:val="0"/>
        <w:autoSpaceDN w:val="0"/>
        <w:adjustRightInd w:val="0"/>
        <w:spacing w:after="0" w:line="240" w:lineRule="auto"/>
        <w:rPr>
          <w:rFonts w:ascii="Times New Roman" w:hAnsi="Times New Roman" w:cs="Times New Roman"/>
          <w:sz w:val="24"/>
          <w:szCs w:val="24"/>
        </w:rPr>
      </w:pPr>
    </w:p>
    <w:sectPr w:rsidR="0030006E">
      <w:headerReference w:type="default" r:id="rId305"/>
      <w:footerReference w:type="default" r:id="rId306"/>
      <w:type w:val="continuous"/>
      <w:pgSz w:w="12240" w:h="15840"/>
      <w:pgMar w:top="2016" w:right="1440" w:bottom="180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006E" w:rsidRDefault="0030006E">
      <w:pPr>
        <w:spacing w:after="0" w:line="240" w:lineRule="auto"/>
      </w:pPr>
      <w:r>
        <w:separator/>
      </w:r>
    </w:p>
  </w:endnote>
  <w:endnote w:type="continuationSeparator" w:id="0">
    <w:p w:rsidR="0030006E" w:rsidRDefault="003000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30006E">
    <w:pPr>
      <w:widowControl w:val="0"/>
      <w:autoSpaceDE w:val="0"/>
      <w:autoSpaceDN w:val="0"/>
      <w:adjustRightInd w:val="0"/>
      <w:spacing w:after="0" w:line="288" w:lineRule="auto"/>
      <w:jc w:val="center"/>
      <w:rPr>
        <w:rFonts w:ascii="Arial" w:hAnsi="Arial" w:cs="Arial"/>
        <w:color w:val="000000"/>
        <w:sz w:val="24"/>
        <w:szCs w:val="24"/>
      </w:rPr>
    </w:pPr>
    <w:r>
      <w:rPr>
        <w:rFonts w:ascii="Times New Roman" w:hAnsi="Times New Roman" w:cs="Times New Roman"/>
        <w:color w:val="000000"/>
        <w:sz w:val="24"/>
        <w:szCs w:val="24"/>
      </w:rPr>
      <w:t>© 2014 Thomson Reuters. No Claim to Orig. US Gov. Works.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30006E">
    <w:pPr>
      <w:widowControl w:val="0"/>
      <w:autoSpaceDE w:val="0"/>
      <w:autoSpaceDN w:val="0"/>
      <w:adjustRightInd w:val="0"/>
      <w:spacing w:after="0" w:line="288" w:lineRule="auto"/>
      <w:jc w:val="center"/>
      <w:rPr>
        <w:rFonts w:ascii="Arial" w:hAnsi="Arial" w:cs="Arial"/>
        <w:color w:val="000000"/>
        <w:sz w:val="24"/>
        <w:szCs w:val="24"/>
      </w:rPr>
    </w:pPr>
    <w:r>
      <w:rPr>
        <w:rFonts w:ascii="Times New Roman" w:hAnsi="Times New Roman" w:cs="Times New Roman"/>
        <w:color w:val="000000"/>
        <w:sz w:val="24"/>
        <w:szCs w:val="24"/>
      </w:rPr>
      <w:t>© 2014 Thomson Reuters. No Claim to Orig. US Gov. Works.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30006E">
    <w:pPr>
      <w:widowControl w:val="0"/>
      <w:autoSpaceDE w:val="0"/>
      <w:autoSpaceDN w:val="0"/>
      <w:adjustRightInd w:val="0"/>
      <w:spacing w:after="0" w:line="288" w:lineRule="auto"/>
      <w:jc w:val="center"/>
      <w:rPr>
        <w:rFonts w:ascii="Arial" w:hAnsi="Arial" w:cs="Arial"/>
        <w:color w:val="000000"/>
        <w:sz w:val="24"/>
        <w:szCs w:val="24"/>
      </w:rPr>
    </w:pPr>
    <w:r>
      <w:rPr>
        <w:rFonts w:ascii="Times New Roman" w:hAnsi="Times New Roman" w:cs="Times New Roman"/>
        <w:color w:val="000000"/>
        <w:sz w:val="24"/>
        <w:szCs w:val="24"/>
      </w:rPr>
      <w:t>© 2014 Thomson Reuters. No Claim to Orig. US Gov. Works.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30006E">
    <w:pPr>
      <w:widowControl w:val="0"/>
      <w:autoSpaceDE w:val="0"/>
      <w:autoSpaceDN w:val="0"/>
      <w:adjustRightInd w:val="0"/>
      <w:spacing w:after="0" w:line="288" w:lineRule="auto"/>
      <w:jc w:val="center"/>
      <w:rPr>
        <w:rFonts w:ascii="Arial" w:hAnsi="Arial" w:cs="Arial"/>
        <w:color w:val="000000"/>
        <w:sz w:val="24"/>
        <w:szCs w:val="24"/>
      </w:rPr>
    </w:pPr>
    <w:r>
      <w:rPr>
        <w:rFonts w:ascii="Times New Roman" w:hAnsi="Times New Roman" w:cs="Times New Roman"/>
        <w:color w:val="000000"/>
        <w:sz w:val="24"/>
        <w:szCs w:val="24"/>
      </w:rPr>
      <w:t>© 2014 Thomson Reuters. No Claim to Orig. US Gov. Works.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006E" w:rsidRDefault="0030006E">
      <w:pPr>
        <w:spacing w:after="0" w:line="240" w:lineRule="auto"/>
      </w:pPr>
      <w:r>
        <w:separator/>
      </w:r>
    </w:p>
  </w:footnote>
  <w:footnote w:type="continuationSeparator" w:id="0">
    <w:p w:rsidR="0030006E" w:rsidRDefault="0030006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CellMar>
        <w:left w:w="0" w:type="dxa"/>
        <w:right w:w="0" w:type="dxa"/>
      </w:tblCellMar>
      <w:tblLook w:val="0000" w:firstRow="0" w:lastRow="0" w:firstColumn="0" w:lastColumn="0" w:noHBand="0" w:noVBand="0"/>
    </w:tblPr>
    <w:tblGrid>
      <w:gridCol w:w="6480"/>
      <w:gridCol w:w="2880"/>
    </w:tblGrid>
    <w:tr w:rsidR="00000000">
      <w:tblPrEx>
        <w:tblCellMar>
          <w:top w:w="0" w:type="dxa"/>
          <w:left w:w="0" w:type="dxa"/>
          <w:bottom w:w="0" w:type="dxa"/>
          <w:right w:w="0" w:type="dxa"/>
        </w:tblCellMar>
      </w:tblPrEx>
      <w:tc>
        <w:tcPr>
          <w:tcW w:w="6480" w:type="dxa"/>
          <w:tcBorders>
            <w:top w:val="nil"/>
            <w:left w:val="nil"/>
            <w:bottom w:val="nil"/>
            <w:right w:val="nil"/>
          </w:tcBorders>
          <w:tcMar>
            <w:top w:w="0" w:type="dxa"/>
            <w:left w:w="0" w:type="dxa"/>
            <w:bottom w:w="0" w:type="dxa"/>
            <w:right w:w="0" w:type="dxa"/>
          </w:tcMar>
        </w:tcPr>
        <w:p w:rsidR="00000000" w:rsidRDefault="00FD504F">
          <w:pPr>
            <w:widowControl w:val="0"/>
            <w:autoSpaceDE w:val="0"/>
            <w:autoSpaceDN w:val="0"/>
            <w:adjustRightInd w:val="0"/>
            <w:spacing w:after="0" w:line="288" w:lineRule="auto"/>
            <w:rPr>
              <w:rFonts w:ascii="Arial" w:hAnsi="Arial" w:cs="Arial"/>
              <w:color w:val="000000"/>
              <w:sz w:val="24"/>
              <w:szCs w:val="24"/>
            </w:rPr>
          </w:pPr>
          <w:r>
            <w:rPr>
              <w:rFonts w:ascii="Times New Roman" w:hAnsi="Times New Roman" w:cs="Times New Roman"/>
              <w:noProof/>
              <w:color w:val="000000"/>
              <w:sz w:val="20"/>
              <w:szCs w:val="20"/>
            </w:rPr>
            <w:drawing>
              <wp:inline distT="0" distB="0" distL="0" distR="0">
                <wp:extent cx="685800" cy="3429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5800" cy="342900"/>
                        </a:xfrm>
                        <a:prstGeom prst="rect">
                          <a:avLst/>
                        </a:prstGeom>
                        <a:noFill/>
                        <a:ln>
                          <a:noFill/>
                        </a:ln>
                      </pic:spPr>
                    </pic:pic>
                  </a:graphicData>
                </a:graphic>
              </wp:inline>
            </w:drawing>
          </w:r>
        </w:p>
      </w:tc>
      <w:tc>
        <w:tcPr>
          <w:tcW w:w="2880" w:type="dxa"/>
          <w:tcBorders>
            <w:top w:val="nil"/>
            <w:left w:val="nil"/>
            <w:bottom w:val="nil"/>
            <w:right w:val="nil"/>
          </w:tcBorders>
          <w:tcMar>
            <w:top w:w="0" w:type="dxa"/>
            <w:left w:w="0" w:type="dxa"/>
            <w:bottom w:w="0" w:type="dxa"/>
            <w:right w:w="0" w:type="dxa"/>
          </w:tcMar>
        </w:tcPr>
        <w:p w:rsidR="00000000" w:rsidRDefault="0030006E">
          <w:pPr>
            <w:widowControl w:val="0"/>
            <w:autoSpaceDE w:val="0"/>
            <w:autoSpaceDN w:val="0"/>
            <w:adjustRightInd w:val="0"/>
            <w:spacing w:after="0" w:line="288" w:lineRule="auto"/>
            <w:rPr>
              <w:rFonts w:ascii="Arial" w:hAnsi="Arial" w:cs="Arial"/>
              <w:color w:val="000000"/>
              <w:sz w:val="24"/>
              <w:szCs w:val="24"/>
            </w:rPr>
          </w:pPr>
        </w:p>
      </w:tc>
    </w:tr>
    <w:tr w:rsidR="00000000">
      <w:tblPrEx>
        <w:tblCellMar>
          <w:top w:w="0" w:type="dxa"/>
          <w:left w:w="0" w:type="dxa"/>
          <w:bottom w:w="0" w:type="dxa"/>
          <w:right w:w="0" w:type="dxa"/>
        </w:tblCellMar>
      </w:tblPrEx>
      <w:tc>
        <w:tcPr>
          <w:tcW w:w="6480" w:type="dxa"/>
          <w:tcBorders>
            <w:top w:val="nil"/>
            <w:left w:val="nil"/>
            <w:bottom w:val="nil"/>
            <w:right w:val="nil"/>
          </w:tcBorders>
          <w:tcMar>
            <w:top w:w="0" w:type="dxa"/>
            <w:left w:w="0" w:type="dxa"/>
            <w:bottom w:w="0" w:type="dxa"/>
            <w:right w:w="0" w:type="dxa"/>
          </w:tcMar>
        </w:tcPr>
        <w:p w:rsidR="00000000" w:rsidRDefault="0030006E">
          <w:pPr>
            <w:widowControl w:val="0"/>
            <w:autoSpaceDE w:val="0"/>
            <w:autoSpaceDN w:val="0"/>
            <w:adjustRightInd w:val="0"/>
            <w:spacing w:after="0" w:line="288" w:lineRule="auto"/>
            <w:rPr>
              <w:rFonts w:ascii="Arial" w:hAnsi="Arial" w:cs="Arial"/>
              <w:color w:val="000000"/>
              <w:sz w:val="24"/>
              <w:szCs w:val="24"/>
            </w:rPr>
          </w:pPr>
          <w:r>
            <w:rPr>
              <w:rFonts w:ascii="Times New Roman" w:hAnsi="Times New Roman" w:cs="Times New Roman"/>
              <w:color w:val="000000"/>
              <w:sz w:val="24"/>
              <w:szCs w:val="24"/>
            </w:rPr>
            <w:t xml:space="preserve">2014 WL 844597 (U.S.) </w:t>
          </w:r>
        </w:p>
      </w:tc>
      <w:tc>
        <w:tcPr>
          <w:tcW w:w="2880" w:type="dxa"/>
          <w:tcBorders>
            <w:top w:val="nil"/>
            <w:left w:val="nil"/>
            <w:bottom w:val="nil"/>
            <w:right w:val="nil"/>
          </w:tcBorders>
          <w:tcMar>
            <w:top w:w="0" w:type="dxa"/>
            <w:left w:w="0" w:type="dxa"/>
            <w:bottom w:w="0" w:type="dxa"/>
            <w:right w:w="0" w:type="dxa"/>
          </w:tcMar>
        </w:tcPr>
        <w:p w:rsidR="00000000" w:rsidRDefault="0030006E">
          <w:pPr>
            <w:widowControl w:val="0"/>
            <w:autoSpaceDE w:val="0"/>
            <w:autoSpaceDN w:val="0"/>
            <w:adjustRightInd w:val="0"/>
            <w:spacing w:after="0" w:line="288" w:lineRule="auto"/>
            <w:jc w:val="right"/>
            <w:rPr>
              <w:rFonts w:ascii="Arial" w:hAnsi="Arial" w:cs="Arial"/>
              <w:color w:val="000000"/>
              <w:sz w:val="24"/>
              <w:szCs w:val="24"/>
            </w:rPr>
          </w:pPr>
          <w:r>
            <w:rPr>
              <w:rFonts w:ascii="Times New Roman" w:hAnsi="Times New Roman" w:cs="Times New Roman"/>
              <w:color w:val="000000"/>
              <w:sz w:val="24"/>
              <w:szCs w:val="24"/>
            </w:rPr>
            <w:t xml:space="preserve">Page </w:t>
          </w:r>
          <w:r>
            <w:rPr>
              <w:rFonts w:ascii="Times New Roman" w:hAnsi="Times New Roman" w:cs="Times New Roman"/>
              <w:color w:val="000000"/>
              <w:sz w:val="24"/>
              <w:szCs w:val="24"/>
            </w:rPr>
            <w:pgNum/>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CellMar>
        <w:left w:w="0" w:type="dxa"/>
        <w:right w:w="0" w:type="dxa"/>
      </w:tblCellMar>
      <w:tblLook w:val="0000" w:firstRow="0" w:lastRow="0" w:firstColumn="0" w:lastColumn="0" w:noHBand="0" w:noVBand="0"/>
    </w:tblPr>
    <w:tblGrid>
      <w:gridCol w:w="6480"/>
      <w:gridCol w:w="2880"/>
    </w:tblGrid>
    <w:tr w:rsidR="00000000">
      <w:tblPrEx>
        <w:tblCellMar>
          <w:top w:w="0" w:type="dxa"/>
          <w:left w:w="0" w:type="dxa"/>
          <w:bottom w:w="0" w:type="dxa"/>
          <w:right w:w="0" w:type="dxa"/>
        </w:tblCellMar>
      </w:tblPrEx>
      <w:tc>
        <w:tcPr>
          <w:tcW w:w="6480" w:type="dxa"/>
          <w:tcBorders>
            <w:top w:val="nil"/>
            <w:left w:val="nil"/>
            <w:bottom w:val="nil"/>
            <w:right w:val="nil"/>
          </w:tcBorders>
          <w:tcMar>
            <w:top w:w="0" w:type="dxa"/>
            <w:left w:w="0" w:type="dxa"/>
            <w:bottom w:w="0" w:type="dxa"/>
            <w:right w:w="0" w:type="dxa"/>
          </w:tcMar>
        </w:tcPr>
        <w:p w:rsidR="00000000" w:rsidRDefault="0030006E">
          <w:pPr>
            <w:widowControl w:val="0"/>
            <w:autoSpaceDE w:val="0"/>
            <w:autoSpaceDN w:val="0"/>
            <w:adjustRightInd w:val="0"/>
            <w:spacing w:after="0" w:line="288" w:lineRule="auto"/>
            <w:rPr>
              <w:rFonts w:ascii="Arial" w:hAnsi="Arial" w:cs="Arial"/>
              <w:color w:val="000000"/>
              <w:sz w:val="24"/>
              <w:szCs w:val="24"/>
            </w:rPr>
          </w:pPr>
          <w:r>
            <w:rPr>
              <w:rFonts w:ascii="Times New Roman" w:hAnsi="Times New Roman" w:cs="Times New Roman"/>
              <w:color w:val="000000"/>
              <w:sz w:val="24"/>
              <w:szCs w:val="24"/>
            </w:rPr>
            <w:t xml:space="preserve">2014 WL 844597 (U.S.) </w:t>
          </w:r>
        </w:p>
      </w:tc>
      <w:tc>
        <w:tcPr>
          <w:tcW w:w="2880" w:type="dxa"/>
          <w:tcBorders>
            <w:top w:val="nil"/>
            <w:left w:val="nil"/>
            <w:bottom w:val="nil"/>
            <w:right w:val="nil"/>
          </w:tcBorders>
          <w:tcMar>
            <w:top w:w="0" w:type="dxa"/>
            <w:left w:w="0" w:type="dxa"/>
            <w:bottom w:w="0" w:type="dxa"/>
            <w:right w:w="0" w:type="dxa"/>
          </w:tcMar>
        </w:tcPr>
        <w:p w:rsidR="00000000" w:rsidRDefault="0030006E">
          <w:pPr>
            <w:widowControl w:val="0"/>
            <w:autoSpaceDE w:val="0"/>
            <w:autoSpaceDN w:val="0"/>
            <w:adjustRightInd w:val="0"/>
            <w:spacing w:after="0" w:line="288" w:lineRule="auto"/>
            <w:jc w:val="right"/>
            <w:rPr>
              <w:rFonts w:ascii="Arial" w:hAnsi="Arial" w:cs="Arial"/>
              <w:color w:val="000000"/>
              <w:sz w:val="24"/>
              <w:szCs w:val="24"/>
            </w:rPr>
          </w:pPr>
          <w:r>
            <w:rPr>
              <w:rFonts w:ascii="Times New Roman" w:hAnsi="Times New Roman" w:cs="Times New Roman"/>
              <w:color w:val="000000"/>
              <w:sz w:val="24"/>
              <w:szCs w:val="24"/>
            </w:rPr>
            <w:t xml:space="preserve">Page </w:t>
          </w:r>
          <w:r>
            <w:rPr>
              <w:rFonts w:ascii="Times New Roman" w:hAnsi="Times New Roman" w:cs="Times New Roman"/>
              <w:color w:val="000000"/>
              <w:sz w:val="24"/>
              <w:szCs w:val="24"/>
            </w:rPr>
            <w:pgNum/>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CellMar>
        <w:left w:w="0" w:type="dxa"/>
        <w:right w:w="0" w:type="dxa"/>
      </w:tblCellMar>
      <w:tblLook w:val="0000" w:firstRow="0" w:lastRow="0" w:firstColumn="0" w:lastColumn="0" w:noHBand="0" w:noVBand="0"/>
    </w:tblPr>
    <w:tblGrid>
      <w:gridCol w:w="6480"/>
      <w:gridCol w:w="2880"/>
    </w:tblGrid>
    <w:tr w:rsidR="00000000">
      <w:tblPrEx>
        <w:tblCellMar>
          <w:top w:w="0" w:type="dxa"/>
          <w:left w:w="0" w:type="dxa"/>
          <w:bottom w:w="0" w:type="dxa"/>
          <w:right w:w="0" w:type="dxa"/>
        </w:tblCellMar>
      </w:tblPrEx>
      <w:tc>
        <w:tcPr>
          <w:tcW w:w="6480" w:type="dxa"/>
          <w:tcBorders>
            <w:top w:val="nil"/>
            <w:left w:val="nil"/>
            <w:bottom w:val="nil"/>
            <w:right w:val="nil"/>
          </w:tcBorders>
          <w:tcMar>
            <w:top w:w="0" w:type="dxa"/>
            <w:left w:w="0" w:type="dxa"/>
            <w:bottom w:w="0" w:type="dxa"/>
            <w:right w:w="0" w:type="dxa"/>
          </w:tcMar>
        </w:tcPr>
        <w:p w:rsidR="00000000" w:rsidRDefault="0030006E">
          <w:pPr>
            <w:widowControl w:val="0"/>
            <w:autoSpaceDE w:val="0"/>
            <w:autoSpaceDN w:val="0"/>
            <w:adjustRightInd w:val="0"/>
            <w:spacing w:after="0" w:line="288" w:lineRule="auto"/>
            <w:rPr>
              <w:rFonts w:ascii="Arial" w:hAnsi="Arial" w:cs="Arial"/>
              <w:color w:val="000000"/>
              <w:sz w:val="24"/>
              <w:szCs w:val="24"/>
            </w:rPr>
          </w:pPr>
          <w:r>
            <w:rPr>
              <w:rFonts w:ascii="Times New Roman" w:hAnsi="Times New Roman" w:cs="Times New Roman"/>
              <w:color w:val="000000"/>
              <w:sz w:val="20"/>
              <w:szCs w:val="20"/>
            </w:rPr>
            <w:t xml:space="preserve"> </w:t>
          </w:r>
          <w:r w:rsidR="00FD504F">
            <w:rPr>
              <w:rFonts w:ascii="Times New Roman" w:hAnsi="Times New Roman" w:cs="Times New Roman"/>
              <w:noProof/>
              <w:color w:val="000000"/>
              <w:sz w:val="20"/>
              <w:szCs w:val="20"/>
            </w:rPr>
            <w:drawing>
              <wp:inline distT="0" distB="0" distL="0" distR="0">
                <wp:extent cx="685800" cy="3429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5800" cy="342900"/>
                        </a:xfrm>
                        <a:prstGeom prst="rect">
                          <a:avLst/>
                        </a:prstGeom>
                        <a:noFill/>
                        <a:ln>
                          <a:noFill/>
                        </a:ln>
                      </pic:spPr>
                    </pic:pic>
                  </a:graphicData>
                </a:graphic>
              </wp:inline>
            </w:drawing>
          </w:r>
        </w:p>
      </w:tc>
      <w:tc>
        <w:tcPr>
          <w:tcW w:w="2880" w:type="dxa"/>
          <w:tcBorders>
            <w:top w:val="nil"/>
            <w:left w:val="nil"/>
            <w:bottom w:val="nil"/>
            <w:right w:val="nil"/>
          </w:tcBorders>
          <w:tcMar>
            <w:top w:w="0" w:type="dxa"/>
            <w:left w:w="0" w:type="dxa"/>
            <w:bottom w:w="0" w:type="dxa"/>
            <w:right w:w="0" w:type="dxa"/>
          </w:tcMar>
        </w:tcPr>
        <w:p w:rsidR="00000000" w:rsidRDefault="0030006E">
          <w:pPr>
            <w:widowControl w:val="0"/>
            <w:autoSpaceDE w:val="0"/>
            <w:autoSpaceDN w:val="0"/>
            <w:adjustRightInd w:val="0"/>
            <w:spacing w:after="0" w:line="288" w:lineRule="auto"/>
            <w:rPr>
              <w:rFonts w:ascii="Arial" w:hAnsi="Arial" w:cs="Arial"/>
              <w:color w:val="000000"/>
              <w:sz w:val="24"/>
              <w:szCs w:val="24"/>
            </w:rPr>
          </w:pPr>
        </w:p>
      </w:tc>
    </w:tr>
    <w:tr w:rsidR="00000000">
      <w:tblPrEx>
        <w:tblCellMar>
          <w:top w:w="0" w:type="dxa"/>
          <w:left w:w="0" w:type="dxa"/>
          <w:bottom w:w="0" w:type="dxa"/>
          <w:right w:w="0" w:type="dxa"/>
        </w:tblCellMar>
      </w:tblPrEx>
      <w:tc>
        <w:tcPr>
          <w:tcW w:w="6480" w:type="dxa"/>
          <w:tcBorders>
            <w:top w:val="nil"/>
            <w:left w:val="nil"/>
            <w:bottom w:val="nil"/>
            <w:right w:val="nil"/>
          </w:tcBorders>
          <w:tcMar>
            <w:top w:w="0" w:type="dxa"/>
            <w:left w:w="0" w:type="dxa"/>
            <w:bottom w:w="0" w:type="dxa"/>
            <w:right w:w="0" w:type="dxa"/>
          </w:tcMar>
        </w:tcPr>
        <w:p w:rsidR="00000000" w:rsidRDefault="0030006E">
          <w:pPr>
            <w:widowControl w:val="0"/>
            <w:autoSpaceDE w:val="0"/>
            <w:autoSpaceDN w:val="0"/>
            <w:adjustRightInd w:val="0"/>
            <w:spacing w:after="0" w:line="288" w:lineRule="auto"/>
            <w:rPr>
              <w:rFonts w:ascii="Arial" w:hAnsi="Arial" w:cs="Arial"/>
              <w:color w:val="000000"/>
              <w:sz w:val="24"/>
              <w:szCs w:val="24"/>
            </w:rPr>
          </w:pPr>
          <w:r>
            <w:rPr>
              <w:rFonts w:ascii="Times New Roman" w:hAnsi="Times New Roman" w:cs="Times New Roman"/>
              <w:color w:val="000000"/>
              <w:sz w:val="24"/>
              <w:szCs w:val="24"/>
            </w:rPr>
            <w:t xml:space="preserve">2014 WL 844598 (U.S.) </w:t>
          </w:r>
        </w:p>
      </w:tc>
      <w:tc>
        <w:tcPr>
          <w:tcW w:w="2880" w:type="dxa"/>
          <w:tcBorders>
            <w:top w:val="nil"/>
            <w:left w:val="nil"/>
            <w:bottom w:val="nil"/>
            <w:right w:val="nil"/>
          </w:tcBorders>
          <w:tcMar>
            <w:top w:w="0" w:type="dxa"/>
            <w:left w:w="0" w:type="dxa"/>
            <w:bottom w:w="0" w:type="dxa"/>
            <w:right w:w="0" w:type="dxa"/>
          </w:tcMar>
        </w:tcPr>
        <w:p w:rsidR="00000000" w:rsidRDefault="0030006E">
          <w:pPr>
            <w:widowControl w:val="0"/>
            <w:autoSpaceDE w:val="0"/>
            <w:autoSpaceDN w:val="0"/>
            <w:adjustRightInd w:val="0"/>
            <w:spacing w:after="0" w:line="288" w:lineRule="auto"/>
            <w:jc w:val="right"/>
            <w:rPr>
              <w:rFonts w:ascii="Arial" w:hAnsi="Arial" w:cs="Arial"/>
              <w:color w:val="000000"/>
              <w:sz w:val="24"/>
              <w:szCs w:val="24"/>
            </w:rPr>
          </w:pPr>
          <w:r>
            <w:rPr>
              <w:rFonts w:ascii="Times New Roman" w:hAnsi="Times New Roman" w:cs="Times New Roman"/>
              <w:color w:val="000000"/>
              <w:sz w:val="24"/>
              <w:szCs w:val="24"/>
            </w:rPr>
            <w:t xml:space="preserve">Page </w:t>
          </w:r>
          <w:r>
            <w:rPr>
              <w:rFonts w:ascii="Times New Roman" w:hAnsi="Times New Roman" w:cs="Times New Roman"/>
              <w:color w:val="000000"/>
              <w:sz w:val="24"/>
              <w:szCs w:val="24"/>
            </w:rPr>
            <w:pgNum/>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CellMar>
        <w:left w:w="0" w:type="dxa"/>
        <w:right w:w="0" w:type="dxa"/>
      </w:tblCellMar>
      <w:tblLook w:val="0000" w:firstRow="0" w:lastRow="0" w:firstColumn="0" w:lastColumn="0" w:noHBand="0" w:noVBand="0"/>
    </w:tblPr>
    <w:tblGrid>
      <w:gridCol w:w="6480"/>
      <w:gridCol w:w="2880"/>
    </w:tblGrid>
    <w:tr w:rsidR="00000000">
      <w:tblPrEx>
        <w:tblCellMar>
          <w:top w:w="0" w:type="dxa"/>
          <w:left w:w="0" w:type="dxa"/>
          <w:bottom w:w="0" w:type="dxa"/>
          <w:right w:w="0" w:type="dxa"/>
        </w:tblCellMar>
      </w:tblPrEx>
      <w:tc>
        <w:tcPr>
          <w:tcW w:w="6480" w:type="dxa"/>
          <w:tcBorders>
            <w:top w:val="nil"/>
            <w:left w:val="nil"/>
            <w:bottom w:val="nil"/>
            <w:right w:val="nil"/>
          </w:tcBorders>
          <w:tcMar>
            <w:top w:w="0" w:type="dxa"/>
            <w:left w:w="0" w:type="dxa"/>
            <w:bottom w:w="0" w:type="dxa"/>
            <w:right w:w="0" w:type="dxa"/>
          </w:tcMar>
        </w:tcPr>
        <w:p w:rsidR="00000000" w:rsidRDefault="0030006E">
          <w:pPr>
            <w:widowControl w:val="0"/>
            <w:autoSpaceDE w:val="0"/>
            <w:autoSpaceDN w:val="0"/>
            <w:adjustRightInd w:val="0"/>
            <w:spacing w:after="0" w:line="288" w:lineRule="auto"/>
            <w:rPr>
              <w:rFonts w:ascii="Arial" w:hAnsi="Arial" w:cs="Arial"/>
              <w:color w:val="000000"/>
              <w:sz w:val="24"/>
              <w:szCs w:val="24"/>
            </w:rPr>
          </w:pPr>
          <w:r>
            <w:rPr>
              <w:rFonts w:ascii="Times New Roman" w:hAnsi="Times New Roman" w:cs="Times New Roman"/>
              <w:color w:val="000000"/>
              <w:sz w:val="24"/>
              <w:szCs w:val="24"/>
            </w:rPr>
            <w:t xml:space="preserve">2014 WL 844598 (U.S.) </w:t>
          </w:r>
        </w:p>
      </w:tc>
      <w:tc>
        <w:tcPr>
          <w:tcW w:w="2880" w:type="dxa"/>
          <w:tcBorders>
            <w:top w:val="nil"/>
            <w:left w:val="nil"/>
            <w:bottom w:val="nil"/>
            <w:right w:val="nil"/>
          </w:tcBorders>
          <w:tcMar>
            <w:top w:w="0" w:type="dxa"/>
            <w:left w:w="0" w:type="dxa"/>
            <w:bottom w:w="0" w:type="dxa"/>
            <w:right w:w="0" w:type="dxa"/>
          </w:tcMar>
        </w:tcPr>
        <w:p w:rsidR="00000000" w:rsidRDefault="0030006E">
          <w:pPr>
            <w:widowControl w:val="0"/>
            <w:autoSpaceDE w:val="0"/>
            <w:autoSpaceDN w:val="0"/>
            <w:adjustRightInd w:val="0"/>
            <w:spacing w:after="0" w:line="288" w:lineRule="auto"/>
            <w:jc w:val="right"/>
            <w:rPr>
              <w:rFonts w:ascii="Arial" w:hAnsi="Arial" w:cs="Arial"/>
              <w:color w:val="000000"/>
              <w:sz w:val="24"/>
              <w:szCs w:val="24"/>
            </w:rPr>
          </w:pPr>
          <w:r>
            <w:rPr>
              <w:rFonts w:ascii="Times New Roman" w:hAnsi="Times New Roman" w:cs="Times New Roman"/>
              <w:color w:val="000000"/>
              <w:sz w:val="24"/>
              <w:szCs w:val="24"/>
            </w:rPr>
            <w:t xml:space="preserve">Page </w:t>
          </w:r>
          <w:r>
            <w:rPr>
              <w:rFonts w:ascii="Times New Roman" w:hAnsi="Times New Roman" w:cs="Times New Roman"/>
              <w:color w:val="000000"/>
              <w:sz w:val="24"/>
              <w:szCs w:val="24"/>
            </w:rPr>
            <w:pgNum/>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720"/>
  <w:autoHyphenation/>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504F"/>
    <w:rsid w:val="0030006E"/>
    <w:rsid w:val="00FD50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westlaw.com/Find/Default.wl?rs=dfa1.0&amp;vr=2.0&amp;DB=1000546&amp;DocName=21USCAS343&amp;FindType=L&amp;ReferencePositionType=T&amp;ReferencePosition=SP_8b3b0000958a4" TargetMode="External"/><Relationship Id="rId299" Type="http://schemas.openxmlformats.org/officeDocument/2006/relationships/hyperlink" Target="http://www.westlaw.com/Find/Default.wl?rs=dfa1.0&amp;vr=2.0&amp;DB=0000350&amp;FindType=Y&amp;ReferencePositionType=S&amp;SerialNum=1987083038&amp;ReferencePosition=31" TargetMode="External"/><Relationship Id="rId303" Type="http://schemas.openxmlformats.org/officeDocument/2006/relationships/header" Target="header3.xml"/><Relationship Id="rId21" Type="http://schemas.openxmlformats.org/officeDocument/2006/relationships/hyperlink" Target="http://www.westlaw.com/Find/Default.wl?rs=dfa1.0&amp;vr=2.0&amp;DB=0000506&amp;FindType=Y&amp;SerialNum=2007696396" TargetMode="External"/><Relationship Id="rId42" Type="http://schemas.openxmlformats.org/officeDocument/2006/relationships/hyperlink" Target="http://www.westlaw.com/Find/Default.wl?rs=dfa1.0&amp;vr=2.0&amp;DB=0000780&amp;FindType=Y&amp;SerialNum=2003391159" TargetMode="External"/><Relationship Id="rId63" Type="http://schemas.openxmlformats.org/officeDocument/2006/relationships/hyperlink" Target="http://www.westlaw.com/Find/Default.wl?rs=dfa1.0&amp;vr=2.0&amp;DB=0000780&amp;FindType=Y&amp;SerialNum=1974127219" TargetMode="External"/><Relationship Id="rId84" Type="http://schemas.openxmlformats.org/officeDocument/2006/relationships/hyperlink" Target="http://www.westlaw.com/Find/Default.wl?rs=dfa1.0&amp;vr=2.0&amp;DB=0000780&amp;FindType=Y&amp;SerialNum=1963104750" TargetMode="External"/><Relationship Id="rId138" Type="http://schemas.openxmlformats.org/officeDocument/2006/relationships/hyperlink" Target="http://www.westlaw.com/Find/Default.wl?rs=dfa1.0&amp;vr=2.0&amp;DB=0000780&amp;FindType=Y&amp;SerialNum=2001227358" TargetMode="External"/><Relationship Id="rId159" Type="http://schemas.openxmlformats.org/officeDocument/2006/relationships/hyperlink" Target="http://www.westlaw.com/Find/Default.wl?rs=dfa1.0&amp;vr=2.0&amp;DB=0000780&amp;FindType=Y&amp;ReferencePositionType=S&amp;SerialNum=2003391159&amp;ReferencePosition=28" TargetMode="External"/><Relationship Id="rId170" Type="http://schemas.openxmlformats.org/officeDocument/2006/relationships/hyperlink" Target="http://www.westlaw.com/Find/Default.wl?rs=dfa1.0&amp;vr=2.0&amp;DB=0000506&amp;FindType=Y&amp;ReferencePositionType=S&amp;SerialNum=2007696396&amp;ReferencePosition=1138" TargetMode="External"/><Relationship Id="rId191" Type="http://schemas.openxmlformats.org/officeDocument/2006/relationships/hyperlink" Target="http://www.westlaw.com/Find/Default.wl?rs=dfa1.0&amp;vr=2.0&amp;DB=1000546&amp;DocName=21USCAS341&amp;FindType=L" TargetMode="External"/><Relationship Id="rId205" Type="http://schemas.openxmlformats.org/officeDocument/2006/relationships/hyperlink" Target="http://www.westlaw.com/Find/Default.wl?rs=dfa1.0&amp;vr=2.0&amp;DB=1000546&amp;DocName=21USCAS343&amp;FindType=L" TargetMode="External"/><Relationship Id="rId226" Type="http://schemas.openxmlformats.org/officeDocument/2006/relationships/hyperlink" Target="http://www.westlaw.com/Find/Default.wl?rs=dfa1.0&amp;vr=2.0&amp;DB=0000780&amp;FindType=Y&amp;ReferencePositionType=S&amp;SerialNum=1974127219&amp;ReferencePosition=551" TargetMode="External"/><Relationship Id="rId247" Type="http://schemas.openxmlformats.org/officeDocument/2006/relationships/hyperlink" Target="http://www.westlaw.com/Find/Default.wl?rs=dfa1.0&amp;vr=2.0&amp;DB=0000780&amp;FindType=Y&amp;ReferencePositionType=S&amp;SerialNum=1985127856&amp;ReferencePosition=717" TargetMode="External"/><Relationship Id="rId107" Type="http://schemas.openxmlformats.org/officeDocument/2006/relationships/hyperlink" Target="http://www.westlaw.com/Find/Default.wl?rs=dfa1.0&amp;vr=2.0&amp;DB=1000546&amp;DocName=15USCAS1117&amp;FindType=L&amp;ReferencePositionType=T&amp;ReferencePosition=SP_8b3b0000958a4" TargetMode="External"/><Relationship Id="rId268" Type="http://schemas.openxmlformats.org/officeDocument/2006/relationships/hyperlink" Target="http://www.westlaw.com/Find/Default.wl?rs=dfa1.0&amp;vr=2.0&amp;DB=0000506&amp;FindType=Y&amp;ReferencePositionType=S&amp;SerialNum=2021750119&amp;ReferencePosition=929" TargetMode="External"/><Relationship Id="rId289" Type="http://schemas.openxmlformats.org/officeDocument/2006/relationships/hyperlink" Target="http://www.westlaw.com/Find/Default.wl?rs=dfa1.0&amp;vr=2.0&amp;DB=0000350&amp;FindType=Y&amp;ReferencePositionType=S&amp;SerialNum=1925121325&amp;ReferencePosition=604" TargetMode="External"/><Relationship Id="rId11" Type="http://schemas.openxmlformats.org/officeDocument/2006/relationships/footer" Target="footer2.xml"/><Relationship Id="rId32" Type="http://schemas.openxmlformats.org/officeDocument/2006/relationships/hyperlink" Target="http://www.westlaw.com/Find/Default.wl?rs=dfa1.0&amp;vr=2.0&amp;DB=0000506&amp;FindType=Y&amp;SerialNum=2000062053" TargetMode="External"/><Relationship Id="rId53" Type="http://schemas.openxmlformats.org/officeDocument/2006/relationships/hyperlink" Target="http://www.westlaw.com/Find/Default.wl?rs=dfa1.0&amp;vr=2.0&amp;DB=0000999&amp;FindType=Y&amp;SerialNum=2020797843" TargetMode="External"/><Relationship Id="rId74" Type="http://schemas.openxmlformats.org/officeDocument/2006/relationships/hyperlink" Target="http://www.westlaw.com/Find/Default.wl?rs=dfa1.0&amp;vr=2.0&amp;DB=0000506&amp;FindType=Y&amp;SerialNum=2021750119" TargetMode="External"/><Relationship Id="rId128" Type="http://schemas.openxmlformats.org/officeDocument/2006/relationships/hyperlink" Target="http://www.westlaw.com/Find/Default.wl?rs=dfa1.0&amp;vr=2.0&amp;DB=1000547&amp;DocName=21CFRS102.33&amp;FindType=L&amp;ReferencePositionType=T&amp;ReferencePosition=SP_5ba1000067d06" TargetMode="External"/><Relationship Id="rId149" Type="http://schemas.openxmlformats.org/officeDocument/2006/relationships/hyperlink" Target="http://www.westlaw.com/Find/Default.wl?rs=dfa1.0&amp;vr=2.0&amp;DB=0000780&amp;FindType=Y&amp;SerialNum=1988070498" TargetMode="External"/><Relationship Id="rId5" Type="http://schemas.openxmlformats.org/officeDocument/2006/relationships/webSettings" Target="webSettings.xml"/><Relationship Id="rId95" Type="http://schemas.openxmlformats.org/officeDocument/2006/relationships/hyperlink" Target="http://www.westlaw.com/Find/Default.wl?rs=dfa1.0&amp;vr=2.0&amp;DB=0000780&amp;FindType=Y&amp;SerialNum=1979135127" TargetMode="External"/><Relationship Id="rId160" Type="http://schemas.openxmlformats.org/officeDocument/2006/relationships/hyperlink" Target="http://www.westlaw.com/Find/Default.wl?rs=dfa1.0&amp;vr=2.0&amp;DB=0000780&amp;FindType=Y&amp;ReferencePositionType=S&amp;SerialNum=2003391159&amp;ReferencePosition=28" TargetMode="External"/><Relationship Id="rId181" Type="http://schemas.openxmlformats.org/officeDocument/2006/relationships/hyperlink" Target="http://www.westlaw.com/Find/Default.wl?rs=dfa1.0&amp;vr=2.0&amp;DB=1000546&amp;DocName=21USCAS301&amp;FindType=L" TargetMode="External"/><Relationship Id="rId216" Type="http://schemas.openxmlformats.org/officeDocument/2006/relationships/hyperlink" Target="http://www.westlaw.com/Find/Default.wl?rs=dfa1.0&amp;vr=2.0&amp;DB=1000546&amp;DocName=21USCAS343&amp;FindType=L" TargetMode="External"/><Relationship Id="rId237" Type="http://schemas.openxmlformats.org/officeDocument/2006/relationships/hyperlink" Target="http://www.westlaw.com/Find/Default.wl?rs=dfa1.0&amp;vr=2.0&amp;DB=0000350&amp;FindType=Y&amp;ReferencePositionType=S&amp;SerialNum=1990069208&amp;ReferencePosition=231" TargetMode="External"/><Relationship Id="rId258" Type="http://schemas.openxmlformats.org/officeDocument/2006/relationships/hyperlink" Target="http://www.westlaw.com/Find/Default.wl?rs=dfa1.0&amp;vr=2.0&amp;DB=0000350&amp;FindType=Y&amp;ReferencePositionType=S&amp;SerialNum=1990069208&amp;ReferencePosition=228" TargetMode="External"/><Relationship Id="rId279" Type="http://schemas.openxmlformats.org/officeDocument/2006/relationships/hyperlink" Target="http://www.westlaw.com/Find/Default.wl?rs=dfa1.0&amp;vr=2.0&amp;DB=1000547&amp;DocName=21CFRS102.33&amp;FindType=L&amp;ReferencePositionType=T&amp;ReferencePosition=SP_4b24000003ba5" TargetMode="External"/><Relationship Id="rId22" Type="http://schemas.openxmlformats.org/officeDocument/2006/relationships/hyperlink" Target="http://www.westlaw.com/Find/Default.wl?rs=dfa1.0&amp;vr=2.0&amp;DB=0000506&amp;FindType=Y&amp;SerialNum=2007696396" TargetMode="External"/><Relationship Id="rId43" Type="http://schemas.openxmlformats.org/officeDocument/2006/relationships/hyperlink" Target="http://www.westlaw.com/Find/Default.wl?rs=dfa1.0&amp;vr=2.0&amp;DB=0000350&amp;FindType=Y&amp;SerialNum=1925121325" TargetMode="External"/><Relationship Id="rId64" Type="http://schemas.openxmlformats.org/officeDocument/2006/relationships/hyperlink" Target="http://www.westlaw.com/Find/Default.wl?rs=dfa1.0&amp;vr=2.0&amp;DB=0000780&amp;FindType=Y&amp;SerialNum=1974127219" TargetMode="External"/><Relationship Id="rId118" Type="http://schemas.openxmlformats.org/officeDocument/2006/relationships/hyperlink" Target="http://www.westlaw.com/Find/Default.wl?rs=dfa1.0&amp;vr=2.0&amp;DB=1000546&amp;DocName=21USCAS343&amp;FindType=L&amp;ReferencePositionType=T&amp;ReferencePosition=SP_ae0d0000c5150" TargetMode="External"/><Relationship Id="rId139" Type="http://schemas.openxmlformats.org/officeDocument/2006/relationships/hyperlink" Target="http://www.westlaw.com/Find/Default.wl?rs=dfa1.0&amp;vr=2.0&amp;DB=0000780&amp;FindType=Y&amp;SerialNum=2001227358" TargetMode="External"/><Relationship Id="rId290" Type="http://schemas.openxmlformats.org/officeDocument/2006/relationships/hyperlink" Target="http://www.westlaw.com/Find/Default.wl?rs=dfa1.0&amp;vr=2.0&amp;DB=0000780&amp;FindType=Y&amp;SerialNum=1927124165" TargetMode="External"/><Relationship Id="rId304" Type="http://schemas.openxmlformats.org/officeDocument/2006/relationships/footer" Target="footer3.xml"/><Relationship Id="rId85" Type="http://schemas.openxmlformats.org/officeDocument/2006/relationships/hyperlink" Target="http://www.westlaw.com/Find/Default.wl?rs=dfa1.0&amp;vr=2.0&amp;DB=0000780&amp;FindType=Y&amp;SerialNum=2001227358" TargetMode="External"/><Relationship Id="rId150" Type="http://schemas.openxmlformats.org/officeDocument/2006/relationships/hyperlink" Target="http://www.westlaw.com/Find/Default.wl?rs=dfa1.0&amp;vr=2.0&amp;DB=0000780&amp;FindType=Y&amp;ReferencePositionType=S&amp;SerialNum=2003244900&amp;ReferencePosition=273" TargetMode="External"/><Relationship Id="rId171" Type="http://schemas.openxmlformats.org/officeDocument/2006/relationships/hyperlink" Target="http://www.westlaw.com/Find/Default.wl?rs=dfa1.0&amp;vr=2.0&amp;DB=0000506&amp;FindType=Y&amp;ReferencePositionType=S&amp;SerialNum=2007696396&amp;ReferencePosition=1138" TargetMode="External"/><Relationship Id="rId192" Type="http://schemas.openxmlformats.org/officeDocument/2006/relationships/hyperlink" Target="http://www.westlaw.com/Find/Default.wl?rs=dfa1.0&amp;vr=2.0&amp;DB=184736&amp;DocName=UUID%28I45F5AC8031-3F11DA815BD-679F0D6A697%29&amp;FindType=l" TargetMode="External"/><Relationship Id="rId206" Type="http://schemas.openxmlformats.org/officeDocument/2006/relationships/hyperlink" Target="http://www.westlaw.com/Find/Default.wl?rs=dfa1.0&amp;vr=2.0&amp;DB=0004637&amp;FindType=Y&amp;ReferencePositionType=S&amp;SerialNum=2010519705&amp;ReferencePosition=933" TargetMode="External"/><Relationship Id="rId227" Type="http://schemas.openxmlformats.org/officeDocument/2006/relationships/hyperlink" Target="http://www.westlaw.com/Find/Default.wl?rs=dfa1.0&amp;vr=2.0&amp;DB=0000780&amp;FindType=Y&amp;ReferencePositionType=S&amp;SerialNum=1939124488&amp;ReferencePosition=198" TargetMode="External"/><Relationship Id="rId248" Type="http://schemas.openxmlformats.org/officeDocument/2006/relationships/hyperlink" Target="http://www.westlaw.com/Find/Default.wl?rs=dfa1.0&amp;vr=2.0&amp;DB=0000506&amp;FindType=Y&amp;SerialNum=1999209103" TargetMode="External"/><Relationship Id="rId269" Type="http://schemas.openxmlformats.org/officeDocument/2006/relationships/hyperlink" Target="http://www.westlaw.com/Find/Default.wl?rs=dfa1.0&amp;vr=2.0&amp;DB=0000506&amp;FindType=Y&amp;ReferencePositionType=S&amp;SerialNum=2021750119&amp;ReferencePosition=929" TargetMode="External"/><Relationship Id="rId12" Type="http://schemas.openxmlformats.org/officeDocument/2006/relationships/hyperlink" Target="http://www.westlaw.com/Find/Default.wl?rs=dfa1.0&amp;vr=2.0&amp;FindType=Y&amp;SerialNum=2029525229" TargetMode="External"/><Relationship Id="rId33" Type="http://schemas.openxmlformats.org/officeDocument/2006/relationships/hyperlink" Target="http://www.westlaw.com/Find/Default.wl?rs=dfa1.0&amp;vr=2.0&amp;DB=0000780&amp;FindType=Y&amp;SerialNum=2003244900" TargetMode="External"/><Relationship Id="rId108" Type="http://schemas.openxmlformats.org/officeDocument/2006/relationships/hyperlink" Target="http://www.westlaw.com/Find/Default.wl?rs=dfa1.0&amp;vr=2.0&amp;DB=1000546&amp;DocName=15USCAS1125&amp;FindType=L&amp;ReferencePositionType=T&amp;ReferencePosition=SP_8b3b0000958a4" TargetMode="External"/><Relationship Id="rId129" Type="http://schemas.openxmlformats.org/officeDocument/2006/relationships/hyperlink" Target="http://www.westlaw.com/Find/Default.wl?rs=dfa1.0&amp;vr=2.0&amp;DB=184736&amp;DocName=UUID%28I45F5AC8031-3F11DA815BD-679F0D6A697%29&amp;FindType=l" TargetMode="External"/><Relationship Id="rId280" Type="http://schemas.openxmlformats.org/officeDocument/2006/relationships/hyperlink" Target="http://www.westlaw.com/Find/Default.wl?rs=dfa1.0&amp;vr=2.0&amp;DB=1000547&amp;DocName=21CFRS102.33&amp;FindType=L&amp;ReferencePositionType=T&amp;ReferencePosition=SP_5ba1000067d06" TargetMode="External"/><Relationship Id="rId54" Type="http://schemas.openxmlformats.org/officeDocument/2006/relationships/hyperlink" Target="http://www.westlaw.com/Find/Default.wl?rs=dfa1.0&amp;vr=2.0&amp;DB=0000999&amp;FindType=Y&amp;SerialNum=2020797843" TargetMode="External"/><Relationship Id="rId75" Type="http://schemas.openxmlformats.org/officeDocument/2006/relationships/hyperlink" Target="http://www.westlaw.com/Find/Default.wl?rs=dfa1.0&amp;vr=2.0&amp;DB=0000780&amp;FindType=Y&amp;SerialNum=1936123488" TargetMode="External"/><Relationship Id="rId96" Type="http://schemas.openxmlformats.org/officeDocument/2006/relationships/hyperlink" Target="http://www.westlaw.com/Find/Default.wl?rs=dfa1.0&amp;vr=2.0&amp;DB=0000780&amp;FindType=Y&amp;SerialNum=1979135127" TargetMode="External"/><Relationship Id="rId140" Type="http://schemas.openxmlformats.org/officeDocument/2006/relationships/hyperlink" Target="http://www.westlaw.com/Find/Default.wl?rs=dfa1.0&amp;vr=2.0&amp;DB=0000780&amp;FindType=Y&amp;SerialNum=2000080477" TargetMode="External"/><Relationship Id="rId161" Type="http://schemas.openxmlformats.org/officeDocument/2006/relationships/hyperlink" Target="http://www.westlaw.com/Find/Default.wl?rs=dfa1.0&amp;vr=2.0&amp;DB=1000546&amp;DocName=15USCAS1127&amp;FindType=L" TargetMode="External"/><Relationship Id="rId182" Type="http://schemas.openxmlformats.org/officeDocument/2006/relationships/hyperlink" Target="http://www.westlaw.com/Find/Default.wl?rs=dfa1.0&amp;vr=2.0&amp;DB=1000546&amp;DocName=21USCAS301&amp;FindType=L" TargetMode="External"/><Relationship Id="rId217" Type="http://schemas.openxmlformats.org/officeDocument/2006/relationships/hyperlink" Target="http://www.westlaw.com/Find/Default.wl?rs=dfa1.0&amp;vr=2.0&amp;DB=1000546&amp;DocName=21USCAS371&amp;FindType=L" TargetMode="External"/><Relationship Id="rId6" Type="http://schemas.openxmlformats.org/officeDocument/2006/relationships/footnotes" Target="footnotes.xml"/><Relationship Id="rId238" Type="http://schemas.openxmlformats.org/officeDocument/2006/relationships/hyperlink" Target="http://www.westlaw.com/Find/Default.wl?rs=dfa1.0&amp;vr=2.0&amp;DB=0000506&amp;FindType=Y&amp;ReferencePositionType=S&amp;SerialNum=2006815210&amp;ReferencePosition=939" TargetMode="External"/><Relationship Id="rId259" Type="http://schemas.openxmlformats.org/officeDocument/2006/relationships/hyperlink" Target="http://www.westlaw.com/Find/Default.wl?rs=dfa1.0&amp;vr=2.0&amp;DB=0000350&amp;FindType=Y&amp;ReferencePositionType=S&amp;SerialNum=1990069208&amp;ReferencePosition=228" TargetMode="External"/><Relationship Id="rId23" Type="http://schemas.openxmlformats.org/officeDocument/2006/relationships/hyperlink" Target="http://www.westlaw.com/Find/Default.wl?rs=dfa1.0&amp;vr=2.0&amp;DB=0000506&amp;FindType=Y&amp;SerialNum=2006815210" TargetMode="External"/><Relationship Id="rId119" Type="http://schemas.openxmlformats.org/officeDocument/2006/relationships/hyperlink" Target="http://www.westlaw.com/Find/Default.wl?rs=dfa1.0&amp;vr=2.0&amp;DB=1000546&amp;DocName=21USCAS343&amp;FindType=L&amp;ReferencePositionType=T&amp;ReferencePosition=SP_17a3000024864" TargetMode="External"/><Relationship Id="rId270" Type="http://schemas.openxmlformats.org/officeDocument/2006/relationships/hyperlink" Target="http://www.westlaw.com/Find/Default.wl?rs=dfa1.0&amp;vr=2.0&amp;DB=0000350&amp;FindType=Y&amp;ReferencePositionType=S&amp;SerialNum=1987083038&amp;ReferencePosition=31" TargetMode="External"/><Relationship Id="rId291" Type="http://schemas.openxmlformats.org/officeDocument/2006/relationships/hyperlink" Target="http://www.westlaw.com/Find/Default.wl?rs=dfa1.0&amp;vr=2.0&amp;DB=0000780&amp;FindType=Y&amp;SerialNum=1927124165" TargetMode="External"/><Relationship Id="rId305" Type="http://schemas.openxmlformats.org/officeDocument/2006/relationships/header" Target="header4.xml"/><Relationship Id="rId44" Type="http://schemas.openxmlformats.org/officeDocument/2006/relationships/hyperlink" Target="http://www.westlaw.com/Find/Default.wl?rs=dfa1.0&amp;vr=2.0&amp;DB=0000350&amp;FindType=Y&amp;SerialNum=1925121325" TargetMode="External"/><Relationship Id="rId65" Type="http://schemas.openxmlformats.org/officeDocument/2006/relationships/hyperlink" Target="http://www.westlaw.com/Find/Default.wl?rs=dfa1.0&amp;vr=2.0&amp;DB=0000780&amp;FindType=Y&amp;SerialNum=2003191211" TargetMode="External"/><Relationship Id="rId86" Type="http://schemas.openxmlformats.org/officeDocument/2006/relationships/hyperlink" Target="http://www.westlaw.com/Find/Default.wl?rs=dfa1.0&amp;vr=2.0&amp;DB=0000780&amp;FindType=Y&amp;SerialNum=2001227358" TargetMode="External"/><Relationship Id="rId130" Type="http://schemas.openxmlformats.org/officeDocument/2006/relationships/hyperlink" Target="http://www.westlaw.com/Find/Default.wl?rs=dfa1.0&amp;vr=2.0&amp;DB=0000708&amp;FindType=Y&amp;SerialNum=2029588955" TargetMode="External"/><Relationship Id="rId151" Type="http://schemas.openxmlformats.org/officeDocument/2006/relationships/hyperlink" Target="http://www.westlaw.com/Find/Default.wl?rs=dfa1.0&amp;vr=2.0&amp;DB=0000780&amp;FindType=Y&amp;ReferencePositionType=S&amp;SerialNum=2003244900&amp;ReferencePosition=273" TargetMode="External"/><Relationship Id="rId172" Type="http://schemas.openxmlformats.org/officeDocument/2006/relationships/hyperlink" Target="http://www.westlaw.com/Find/Default.wl?rs=dfa1.0&amp;vr=2.0&amp;DB=0000506&amp;FindType=Y&amp;ReferencePositionType=S&amp;SerialNum=2020235604&amp;ReferencePosition=512" TargetMode="External"/><Relationship Id="rId193" Type="http://schemas.openxmlformats.org/officeDocument/2006/relationships/hyperlink" Target="http://www.westlaw.com/Find/Default.wl?rs=dfa1.0&amp;vr=2.0&amp;DB=1000547&amp;DocName=21CFRS102.33&amp;FindType=L" TargetMode="External"/><Relationship Id="rId207" Type="http://schemas.openxmlformats.org/officeDocument/2006/relationships/hyperlink" Target="http://www.westlaw.com/Find/Default.wl?rs=dfa1.0&amp;vr=2.0&amp;DB=0004637&amp;FindType=Y&amp;ReferencePositionType=S&amp;SerialNum=2010519705&amp;ReferencePosition=933" TargetMode="External"/><Relationship Id="rId228" Type="http://schemas.openxmlformats.org/officeDocument/2006/relationships/hyperlink" Target="http://www.westlaw.com/Find/Default.wl?rs=dfa1.0&amp;vr=2.0&amp;DB=0000780&amp;FindType=Y&amp;ReferencePositionType=S&amp;SerialNum=1939124488&amp;ReferencePosition=198" TargetMode="External"/><Relationship Id="rId249" Type="http://schemas.openxmlformats.org/officeDocument/2006/relationships/hyperlink" Target="http://www.westlaw.com/Find/Default.wl?rs=dfa1.0&amp;vr=2.0&amp;DB=0000506&amp;FindType=Y&amp;SerialNum=1999209103" TargetMode="External"/><Relationship Id="rId13" Type="http://schemas.openxmlformats.org/officeDocument/2006/relationships/hyperlink" Target="http://www.westlaw.com/Find/Default.wl?rs=dfa1.0&amp;vr=2.0&amp;FindType=Y&amp;SerialNum=2030208353" TargetMode="External"/><Relationship Id="rId109" Type="http://schemas.openxmlformats.org/officeDocument/2006/relationships/hyperlink" Target="http://www.westlaw.com/Find/Default.wl?rs=dfa1.0&amp;vr=2.0&amp;DB=1000546&amp;DocName=15USCAS1127&amp;FindType=L" TargetMode="External"/><Relationship Id="rId260" Type="http://schemas.openxmlformats.org/officeDocument/2006/relationships/hyperlink" Target="http://www.westlaw.com/Find/Default.wl?rs=dfa1.0&amp;vr=2.0&amp;DB=0000350&amp;FindType=Y&amp;ReferencePositionType=S&amp;SerialNum=1990069208&amp;ReferencePosition=231" TargetMode="External"/><Relationship Id="rId281" Type="http://schemas.openxmlformats.org/officeDocument/2006/relationships/hyperlink" Target="http://www.westlaw.com/Find/Default.wl?rs=dfa1.0&amp;vr=2.0&amp;DB=1000546&amp;DocName=21USCAS343&amp;FindType=L&amp;ReferencePositionType=T&amp;ReferencePosition=SP_ae0d0000c5150" TargetMode="External"/><Relationship Id="rId34" Type="http://schemas.openxmlformats.org/officeDocument/2006/relationships/hyperlink" Target="http://www.westlaw.com/Find/Default.wl?rs=dfa1.0&amp;vr=2.0&amp;DB=0000780&amp;FindType=Y&amp;SerialNum=2003244900" TargetMode="External"/><Relationship Id="rId55" Type="http://schemas.openxmlformats.org/officeDocument/2006/relationships/hyperlink" Target="http://www.westlaw.com/Find/Default.wl?rs=dfa1.0&amp;vr=2.0&amp;DB=0004637&amp;FindType=Y&amp;SerialNum=2017706407" TargetMode="External"/><Relationship Id="rId76" Type="http://schemas.openxmlformats.org/officeDocument/2006/relationships/hyperlink" Target="http://www.westlaw.com/Find/Default.wl?rs=dfa1.0&amp;vr=2.0&amp;DB=0000780&amp;FindType=Y&amp;SerialNum=1936123488" TargetMode="External"/><Relationship Id="rId97" Type="http://schemas.openxmlformats.org/officeDocument/2006/relationships/hyperlink" Target="http://www.westlaw.com/Find/Default.wl?rs=dfa1.0&amp;vr=2.0&amp;DB=0000780&amp;FindType=Y&amp;SerialNum=1939124488" TargetMode="External"/><Relationship Id="rId120" Type="http://schemas.openxmlformats.org/officeDocument/2006/relationships/hyperlink" Target="http://www.westlaw.com/Find/Default.wl?rs=dfa1.0&amp;vr=2.0&amp;DB=1000546&amp;DocName=21USCAS371&amp;FindType=L" TargetMode="External"/><Relationship Id="rId141" Type="http://schemas.openxmlformats.org/officeDocument/2006/relationships/hyperlink" Target="http://www.westlaw.com/Find/Default.wl?rs=dfa1.0&amp;vr=2.0&amp;DB=0000780&amp;FindType=Y&amp;SerialNum=2000080477" TargetMode="External"/><Relationship Id="rId7" Type="http://schemas.openxmlformats.org/officeDocument/2006/relationships/endnotes" Target="endnotes.xml"/><Relationship Id="rId162" Type="http://schemas.openxmlformats.org/officeDocument/2006/relationships/hyperlink" Target="http://www.westlaw.com/Find/Default.wl?rs=dfa1.0&amp;vr=2.0&amp;DB=0000506&amp;FindType=Y&amp;ReferencePositionType=S&amp;SerialNum=1999158590&amp;ReferencePosition=1354" TargetMode="External"/><Relationship Id="rId183" Type="http://schemas.openxmlformats.org/officeDocument/2006/relationships/hyperlink" Target="http://www.westlaw.com/Find/Default.wl?rs=dfa1.0&amp;vr=2.0&amp;DB=1077005&amp;DocName=UU%28IF7EDB7A3A1-A84D7D9E1B9-42F61BD3E79%29&amp;FindType=l" TargetMode="External"/><Relationship Id="rId218" Type="http://schemas.openxmlformats.org/officeDocument/2006/relationships/hyperlink" Target="http://www.westlaw.com/Find/Default.wl?rs=dfa1.0&amp;vr=2.0&amp;DB=1000546&amp;DocName=15USCAS1125&amp;FindType=L" TargetMode="External"/><Relationship Id="rId239" Type="http://schemas.openxmlformats.org/officeDocument/2006/relationships/hyperlink" Target="http://www.westlaw.com/Find/Default.wl?rs=dfa1.0&amp;vr=2.0&amp;DB=0000506&amp;FindType=Y&amp;ReferencePositionType=S&amp;SerialNum=2006815210&amp;ReferencePosition=939" TargetMode="External"/><Relationship Id="rId250" Type="http://schemas.openxmlformats.org/officeDocument/2006/relationships/hyperlink" Target="http://www.westlaw.com/Find/Default.wl?rs=dfa1.0&amp;vr=2.0&amp;DB=0000506&amp;FindType=Y&amp;ReferencePositionType=S&amp;SerialNum=1999209103&amp;ReferencePosition=1254" TargetMode="External"/><Relationship Id="rId271" Type="http://schemas.openxmlformats.org/officeDocument/2006/relationships/hyperlink" Target="http://www.westlaw.com/Find/Default.wl?rs=dfa1.0&amp;vr=2.0&amp;DB=0000350&amp;FindType=Y&amp;ReferencePositionType=S&amp;SerialNum=1987083038&amp;ReferencePosition=31" TargetMode="External"/><Relationship Id="rId292" Type="http://schemas.openxmlformats.org/officeDocument/2006/relationships/hyperlink" Target="http://www.westlaw.com/Find/Default.wl?rs=dfa1.0&amp;vr=2.0&amp;DB=0119215&amp;FindType=Y&amp;SerialNum=0295706958" TargetMode="External"/><Relationship Id="rId306" Type="http://schemas.openxmlformats.org/officeDocument/2006/relationships/footer" Target="footer4.xml"/><Relationship Id="rId24" Type="http://schemas.openxmlformats.org/officeDocument/2006/relationships/hyperlink" Target="http://www.westlaw.com/Find/Default.wl?rs=dfa1.0&amp;vr=2.0&amp;DB=0000506&amp;FindType=Y&amp;SerialNum=2006815210" TargetMode="External"/><Relationship Id="rId40" Type="http://schemas.openxmlformats.org/officeDocument/2006/relationships/hyperlink" Target="http://www.westlaw.com/Find/Default.wl?rs=dfa1.0&amp;vr=2.0&amp;DB=0000506&amp;FindType=Y&amp;SerialNum=1999209103" TargetMode="External"/><Relationship Id="rId45" Type="http://schemas.openxmlformats.org/officeDocument/2006/relationships/hyperlink" Target="http://www.westlaw.com/Find/Default.wl?rs=dfa1.0&amp;vr=2.0&amp;DB=0000780&amp;FindType=Y&amp;SerialNum=1999146905" TargetMode="External"/><Relationship Id="rId66" Type="http://schemas.openxmlformats.org/officeDocument/2006/relationships/hyperlink" Target="http://www.westlaw.com/Find/Default.wl?rs=dfa1.0&amp;vr=2.0&amp;DB=0000780&amp;FindType=Y&amp;SerialNum=2003191211" TargetMode="External"/><Relationship Id="rId87" Type="http://schemas.openxmlformats.org/officeDocument/2006/relationships/hyperlink" Target="http://www.westlaw.com/Find/Default.wl?rs=dfa1.0&amp;vr=2.0&amp;DB=0000780&amp;FindType=Y&amp;SerialNum=1992115426" TargetMode="External"/><Relationship Id="rId110" Type="http://schemas.openxmlformats.org/officeDocument/2006/relationships/hyperlink" Target="http://www.westlaw.com/Find/Default.wl?rs=dfa1.0&amp;vr=2.0&amp;DB=1000546&amp;DocName=21USCAS321&amp;FindType=L&amp;ReferencePositionType=T&amp;ReferencePosition=SP_ae0d0000c5150" TargetMode="External"/><Relationship Id="rId115" Type="http://schemas.openxmlformats.org/officeDocument/2006/relationships/hyperlink" Target="http://www.westlaw.com/Find/Default.wl?rs=dfa1.0&amp;vr=2.0&amp;DB=1000546&amp;DocName=21USCAS341&amp;FindType=L" TargetMode="External"/><Relationship Id="rId131" Type="http://schemas.openxmlformats.org/officeDocument/2006/relationships/hyperlink" Target="http://www.westlaw.com/Find/Default.wl?rs=dfa1.0&amp;vr=2.0&amp;DB=0000708&amp;FindType=Y&amp;SerialNum=2029588955" TargetMode="External"/><Relationship Id="rId136" Type="http://schemas.openxmlformats.org/officeDocument/2006/relationships/hyperlink" Target="http://www.westlaw.com/Find/Default.wl?rs=dfa1.0&amp;vr=2.0&amp;DB=0000780&amp;FindType=Y&amp;SerialNum=2003191211" TargetMode="External"/><Relationship Id="rId157" Type="http://schemas.openxmlformats.org/officeDocument/2006/relationships/hyperlink" Target="http://www.westlaw.com/Find/Default.wl?rs=dfa1.0&amp;vr=2.0&amp;DB=1000546&amp;DocName=15USCAS1125&amp;FindType=L&amp;ReferencePositionType=T&amp;ReferencePosition=SP_7b9b000044381" TargetMode="External"/><Relationship Id="rId178" Type="http://schemas.openxmlformats.org/officeDocument/2006/relationships/hyperlink" Target="http://www.westlaw.com/Find/Default.wl?rs=dfa1.0&amp;vr=2.0&amp;DB=0000350&amp;FindType=Y&amp;ReferencePositionType=S&amp;SerialNum=1984145204&amp;ReferencePosition=113" TargetMode="External"/><Relationship Id="rId301" Type="http://schemas.openxmlformats.org/officeDocument/2006/relationships/hyperlink" Target="http://www.westlaw.com/Find/Default.wl?rs=dfa1.0&amp;vr=2.0&amp;DB=0000999&amp;FindType=Y&amp;SerialNum=2028390599" TargetMode="External"/><Relationship Id="rId61" Type="http://schemas.openxmlformats.org/officeDocument/2006/relationships/hyperlink" Target="http://www.westlaw.com/Find/Default.wl?rs=dfa1.0&amp;vr=2.0&amp;DB=0000780&amp;FindType=Y&amp;SerialNum=2005705929" TargetMode="External"/><Relationship Id="rId82" Type="http://schemas.openxmlformats.org/officeDocument/2006/relationships/hyperlink" Target="http://www.westlaw.com/Find/Default.wl?rs=dfa1.0&amp;vr=2.0&amp;DB=0000506&amp;FindType=Y&amp;SerialNum=2020235604" TargetMode="External"/><Relationship Id="rId152" Type="http://schemas.openxmlformats.org/officeDocument/2006/relationships/hyperlink" Target="http://www.westlaw.com/Find/Default.wl?rs=dfa1.0&amp;vr=2.0&amp;DB=1000546&amp;DocName=15USCAS1127&amp;FindType=L" TargetMode="External"/><Relationship Id="rId173" Type="http://schemas.openxmlformats.org/officeDocument/2006/relationships/hyperlink" Target="http://www.westlaw.com/Find/Default.wl?rs=dfa1.0&amp;vr=2.0&amp;DB=0000506&amp;FindType=Y&amp;ReferencePositionType=S&amp;SerialNum=2020235604&amp;ReferencePosition=512" TargetMode="External"/><Relationship Id="rId194" Type="http://schemas.openxmlformats.org/officeDocument/2006/relationships/hyperlink" Target="http://www.westlaw.com/Find/Default.wl?rs=dfa1.0&amp;vr=2.0&amp;DB=1000546&amp;DocName=21USCAS337&amp;FindType=L&amp;ReferencePositionType=T&amp;ReferencePosition=SP_8b3b0000958a4" TargetMode="External"/><Relationship Id="rId199" Type="http://schemas.openxmlformats.org/officeDocument/2006/relationships/hyperlink" Target="http://www.westlaw.com/Find/Default.wl?rs=dfa1.0&amp;vr=2.0&amp;DB=1000547&amp;DocName=21CFRS102.19&amp;FindType=L&amp;ReferencePositionType=T&amp;ReferencePosition=SP_8b3b0000958a4" TargetMode="External"/><Relationship Id="rId203" Type="http://schemas.openxmlformats.org/officeDocument/2006/relationships/hyperlink" Target="http://www.westlaw.com/Find/Default.wl?rs=dfa1.0&amp;vr=2.0&amp;DB=1000546&amp;DocName=21USCAS333&amp;FindType=L&amp;ReferencePositionType=T&amp;ReferencePosition=SP_65970000c30d0" TargetMode="External"/><Relationship Id="rId208" Type="http://schemas.openxmlformats.org/officeDocument/2006/relationships/hyperlink" Target="http://www.westlaw.com/Find/Default.wl?rs=dfa1.0&amp;vr=2.0&amp;DB=0000350&amp;FindType=Y&amp;ReferencePositionType=S&amp;SerialNum=1990069208&amp;ReferencePosition=230" TargetMode="External"/><Relationship Id="rId229" Type="http://schemas.openxmlformats.org/officeDocument/2006/relationships/hyperlink" Target="http://www.westlaw.com/Find/Default.wl?rs=dfa1.0&amp;vr=2.0&amp;DB=0000780&amp;FindType=Y&amp;ReferencePositionType=S&amp;SerialNum=1979135127&amp;ReferencePosition=118" TargetMode="External"/><Relationship Id="rId19" Type="http://schemas.openxmlformats.org/officeDocument/2006/relationships/hyperlink" Target="http://www.westlaw.com/Find/Default.wl?rs=dfa1.0&amp;vr=2.0&amp;DB=0000999&amp;FindType=Y&amp;SerialNum=2028390599" TargetMode="External"/><Relationship Id="rId224" Type="http://schemas.openxmlformats.org/officeDocument/2006/relationships/hyperlink" Target="http://www.westlaw.com/Find/Default.wl?rs=dfa1.0&amp;vr=2.0&amp;DB=0000780&amp;FindType=Y&amp;ReferencePositionType=S&amp;SerialNum=1936123488&amp;ReferencePosition=503" TargetMode="External"/><Relationship Id="rId240" Type="http://schemas.openxmlformats.org/officeDocument/2006/relationships/hyperlink" Target="http://www.westlaw.com/Find/Default.wl?rs=dfa1.0&amp;vr=2.0&amp;DB=0000780&amp;FindType=Y&amp;ReferencePositionType=S&amp;SerialNum=1979135127&amp;ReferencePosition=118" TargetMode="External"/><Relationship Id="rId245" Type="http://schemas.openxmlformats.org/officeDocument/2006/relationships/hyperlink" Target="http://www.westlaw.com/Find/Default.wl?rs=dfa1.0&amp;vr=2.0&amp;DB=1000547&amp;DocName=21CFRS102.33&amp;FindType=L&amp;ReferencePositionType=T&amp;ReferencePosition=SP_5ba1000067d06" TargetMode="External"/><Relationship Id="rId261" Type="http://schemas.openxmlformats.org/officeDocument/2006/relationships/hyperlink" Target="http://www.westlaw.com/Find/Default.wl?rs=dfa1.0&amp;vr=2.0&amp;DB=0000350&amp;FindType=Y&amp;ReferencePositionType=S&amp;SerialNum=1990069208&amp;ReferencePosition=231" TargetMode="External"/><Relationship Id="rId266" Type="http://schemas.openxmlformats.org/officeDocument/2006/relationships/hyperlink" Target="http://www.westlaw.com/Find/Default.wl?rs=dfa1.0&amp;vr=2.0&amp;DB=0000780&amp;FindType=Y&amp;ReferencePositionType=S&amp;SerialNum=1963104750&amp;ReferencePosition=357" TargetMode="External"/><Relationship Id="rId287" Type="http://schemas.openxmlformats.org/officeDocument/2006/relationships/hyperlink" Target="http://www.westlaw.com/Find/Default.wl?rs=dfa1.0&amp;vr=2.0&amp;DB=0000350&amp;FindType=Y&amp;ReferencePositionType=S&amp;SerialNum=1925121325&amp;ReferencePosition=604" TargetMode="External"/><Relationship Id="rId14" Type="http://schemas.openxmlformats.org/officeDocument/2006/relationships/hyperlink" Target="http://www.westlaw.com/Find/Default.wl?rs=dfa1.0&amp;vr=2.0&amp;DB=PROFILER-WLD&amp;DocName=0179660201&amp;FindType=h" TargetMode="External"/><Relationship Id="rId30" Type="http://schemas.openxmlformats.org/officeDocument/2006/relationships/hyperlink" Target="http://www.westlaw.com/Find/Default.wl?rs=dfa1.0&amp;vr=2.0&amp;DB=0000506&amp;FindType=Y&amp;SerialNum=1994243049" TargetMode="External"/><Relationship Id="rId35" Type="http://schemas.openxmlformats.org/officeDocument/2006/relationships/hyperlink" Target="http://www.westlaw.com/Find/Default.wl?rs=dfa1.0&amp;vr=2.0&amp;DB=0000780&amp;FindType=Y&amp;SerialNum=2001172197" TargetMode="External"/><Relationship Id="rId56" Type="http://schemas.openxmlformats.org/officeDocument/2006/relationships/hyperlink" Target="http://www.westlaw.com/Find/Default.wl?rs=dfa1.0&amp;vr=2.0&amp;DB=0004637&amp;FindType=Y&amp;SerialNum=2017706407" TargetMode="External"/><Relationship Id="rId77" Type="http://schemas.openxmlformats.org/officeDocument/2006/relationships/hyperlink" Target="http://www.westlaw.com/Find/Default.wl?rs=dfa1.0&amp;vr=2.0&amp;DB=0000780&amp;FindType=Y&amp;SerialNum=1995073454" TargetMode="External"/><Relationship Id="rId100" Type="http://schemas.openxmlformats.org/officeDocument/2006/relationships/hyperlink" Target="http://www.westlaw.com/Find/Default.wl?rs=dfa1.0&amp;vr=2.0&amp;DB=0000780&amp;FindType=Y&amp;SerialNum=1948119556" TargetMode="External"/><Relationship Id="rId105" Type="http://schemas.openxmlformats.org/officeDocument/2006/relationships/hyperlink" Target="http://www.westlaw.com/Find/Default.wl?rs=dfa1.0&amp;vr=2.0&amp;DB=0000506&amp;FindType=Y&amp;SerialNum=1999158590" TargetMode="External"/><Relationship Id="rId126" Type="http://schemas.openxmlformats.org/officeDocument/2006/relationships/hyperlink" Target="http://www.westlaw.com/Find/Default.wl?rs=dfa1.0&amp;vr=2.0&amp;DB=1000547&amp;DocName=21CFRS102.33&amp;FindType=L" TargetMode="External"/><Relationship Id="rId147" Type="http://schemas.openxmlformats.org/officeDocument/2006/relationships/hyperlink" Target="http://www.westlaw.com/Find/Default.wl?rs=dfa1.0&amp;vr=2.0&amp;DB=0000780&amp;FindType=Y&amp;SerialNum=1992115426" TargetMode="External"/><Relationship Id="rId168" Type="http://schemas.openxmlformats.org/officeDocument/2006/relationships/hyperlink" Target="http://www.westlaw.com/Find/Default.wl?rs=dfa1.0&amp;vr=2.0&amp;DB=0000506&amp;FindType=Y&amp;ReferencePositionType=S&amp;SerialNum=1994243049&amp;ReferencePosition=1433" TargetMode="External"/><Relationship Id="rId282" Type="http://schemas.openxmlformats.org/officeDocument/2006/relationships/hyperlink" Target="http://www.westlaw.com/Find/Default.wl?rs=dfa1.0&amp;vr=2.0&amp;DB=0000780&amp;FindType=Y&amp;ReferencePositionType=S&amp;SerialNum=2003244900&amp;ReferencePosition=273" TargetMode="External"/><Relationship Id="rId8" Type="http://schemas.openxmlformats.org/officeDocument/2006/relationships/header" Target="header1.xml"/><Relationship Id="rId51" Type="http://schemas.openxmlformats.org/officeDocument/2006/relationships/hyperlink" Target="http://www.westlaw.com/Find/Default.wl?rs=dfa1.0&amp;vr=2.0&amp;DB=0000780&amp;FindType=Y&amp;SerialNum=1985127856" TargetMode="External"/><Relationship Id="rId72" Type="http://schemas.openxmlformats.org/officeDocument/2006/relationships/hyperlink" Target="http://www.westlaw.com/Find/Default.wl?rs=dfa1.0&amp;vr=2.0&amp;DB=0000350&amp;FindType=Y&amp;SerialNum=1958110749" TargetMode="External"/><Relationship Id="rId93" Type="http://schemas.openxmlformats.org/officeDocument/2006/relationships/hyperlink" Target="http://www.westlaw.com/Find/Default.wl?rs=dfa1.0&amp;vr=2.0&amp;DB=0000780&amp;FindType=Y&amp;SerialNum=1969132973" TargetMode="External"/><Relationship Id="rId98" Type="http://schemas.openxmlformats.org/officeDocument/2006/relationships/hyperlink" Target="http://www.westlaw.com/Find/Default.wl?rs=dfa1.0&amp;vr=2.0&amp;DB=0000780&amp;FindType=Y&amp;SerialNum=1939124488" TargetMode="External"/><Relationship Id="rId121" Type="http://schemas.openxmlformats.org/officeDocument/2006/relationships/hyperlink" Target="http://www.westlaw.com/Find/Default.wl?rs=dfa1.0&amp;vr=2.0&amp;DB=1000546&amp;DocName=21USCAS301&amp;FindType=L" TargetMode="External"/><Relationship Id="rId142" Type="http://schemas.openxmlformats.org/officeDocument/2006/relationships/hyperlink" Target="http://www.westlaw.com/Find/Default.wl?rs=dfa1.0&amp;vr=2.0&amp;DB=0000780&amp;FindType=Y&amp;SerialNum=1999146905" TargetMode="External"/><Relationship Id="rId163" Type="http://schemas.openxmlformats.org/officeDocument/2006/relationships/hyperlink" Target="http://www.westlaw.com/Find/Default.wl?rs=dfa1.0&amp;vr=2.0&amp;DB=0000506&amp;FindType=Y&amp;ReferencePositionType=S&amp;SerialNum=1999158590&amp;ReferencePosition=1354" TargetMode="External"/><Relationship Id="rId184" Type="http://schemas.openxmlformats.org/officeDocument/2006/relationships/hyperlink" Target="http://www.westlaw.com/Find/Default.wl?rs=dfa1.0&amp;vr=2.0&amp;DB=1000546&amp;DocName=21USCAS331&amp;FindType=L&amp;ReferencePositionType=T&amp;ReferencePosition=SP_8b3b0000958a4" TargetMode="External"/><Relationship Id="rId189" Type="http://schemas.openxmlformats.org/officeDocument/2006/relationships/hyperlink" Target="http://www.westlaw.com/Find/Default.wl?rs=dfa1.0&amp;vr=2.0&amp;DB=1000546&amp;DocName=21USCAS343&amp;FindType=L&amp;ReferencePositionType=T&amp;ReferencePosition=SP_ae0d0000c5150" TargetMode="External"/><Relationship Id="rId219" Type="http://schemas.openxmlformats.org/officeDocument/2006/relationships/hyperlink" Target="http://www.westlaw.com/Find/Default.wl?rs=dfa1.0&amp;vr=2.0&amp;DB=0000780&amp;FindType=Y&amp;ReferencePositionType=S&amp;SerialNum=2018265400&amp;ReferencePosition=574" TargetMode="External"/><Relationship Id="rId3" Type="http://schemas.microsoft.com/office/2007/relationships/stylesWithEffects" Target="stylesWithEffects.xml"/><Relationship Id="rId214" Type="http://schemas.openxmlformats.org/officeDocument/2006/relationships/hyperlink" Target="http://www.westlaw.com/Find/Default.wl?rs=dfa1.0&amp;vr=2.0&amp;DB=1000546&amp;DocName=21USCAS331&amp;FindType=L" TargetMode="External"/><Relationship Id="rId230" Type="http://schemas.openxmlformats.org/officeDocument/2006/relationships/hyperlink" Target="http://www.westlaw.com/Find/Default.wl?rs=dfa1.0&amp;vr=2.0&amp;DB=0000780&amp;FindType=Y&amp;ReferencePositionType=S&amp;SerialNum=1979135127&amp;ReferencePosition=118" TargetMode="External"/><Relationship Id="rId235" Type="http://schemas.openxmlformats.org/officeDocument/2006/relationships/hyperlink" Target="http://www.westlaw.com/Find/Default.wl?rs=dfa1.0&amp;vr=2.0&amp;DB=0000506&amp;FindType=Y&amp;ReferencePositionType=S&amp;SerialNum=1993198995&amp;ReferencePosition=1149" TargetMode="External"/><Relationship Id="rId251" Type="http://schemas.openxmlformats.org/officeDocument/2006/relationships/hyperlink" Target="http://www.westlaw.com/Find/Default.wl?rs=dfa1.0&amp;vr=2.0&amp;DB=0000506&amp;FindType=Y&amp;ReferencePositionType=S&amp;SerialNum=1999209103&amp;ReferencePosition=1254" TargetMode="External"/><Relationship Id="rId256" Type="http://schemas.openxmlformats.org/officeDocument/2006/relationships/hyperlink" Target="http://www.westlaw.com/Find/Default.wl?rs=dfa1.0&amp;vr=2.0&amp;DB=0000506&amp;FindType=Y&amp;ReferencePositionType=S&amp;SerialNum=1999209103&amp;ReferencePosition=1256" TargetMode="External"/><Relationship Id="rId277" Type="http://schemas.openxmlformats.org/officeDocument/2006/relationships/hyperlink" Target="http://www.westlaw.com/Find/Default.wl?rs=dfa1.0&amp;vr=2.0&amp;DB=1000546&amp;DocName=21USCAS343&amp;FindType=L&amp;ReferencePositionType=T&amp;ReferencePosition=SP_ae0d0000c5150" TargetMode="External"/><Relationship Id="rId298" Type="http://schemas.openxmlformats.org/officeDocument/2006/relationships/hyperlink" Target="http://www.westlaw.com/Find/Default.wl?rs=dfa1.0&amp;vr=2.0&amp;DB=0004637&amp;FindType=Y&amp;ReferencePositionType=S&amp;SerialNum=2003866834&amp;ReferencePosition=1049" TargetMode="External"/><Relationship Id="rId25" Type="http://schemas.openxmlformats.org/officeDocument/2006/relationships/hyperlink" Target="http://www.westlaw.com/Find/Default.wl?rs=dfa1.0&amp;vr=2.0&amp;DB=0000708&amp;FindType=Y&amp;SerialNum=2029588955" TargetMode="External"/><Relationship Id="rId46" Type="http://schemas.openxmlformats.org/officeDocument/2006/relationships/hyperlink" Target="http://www.westlaw.com/Find/Default.wl?rs=dfa1.0&amp;vr=2.0&amp;DB=0000780&amp;FindType=Y&amp;SerialNum=1999146905" TargetMode="External"/><Relationship Id="rId67" Type="http://schemas.openxmlformats.org/officeDocument/2006/relationships/hyperlink" Target="http://www.westlaw.com/Find/Default.wl?rs=dfa1.0&amp;vr=2.0&amp;DB=0004637&amp;FindType=Y&amp;SerialNum=2010519705" TargetMode="External"/><Relationship Id="rId116" Type="http://schemas.openxmlformats.org/officeDocument/2006/relationships/hyperlink" Target="http://www.westlaw.com/Find/Default.wl?rs=dfa1.0&amp;vr=2.0&amp;DB=1000546&amp;DocName=21USCAS343&amp;FindType=L" TargetMode="External"/><Relationship Id="rId137" Type="http://schemas.openxmlformats.org/officeDocument/2006/relationships/hyperlink" Target="http://www.westlaw.com/Find/Default.wl?rs=dfa1.0&amp;vr=2.0&amp;DB=0000780&amp;FindType=Y&amp;SerialNum=2003191211" TargetMode="External"/><Relationship Id="rId158" Type="http://schemas.openxmlformats.org/officeDocument/2006/relationships/hyperlink" Target="http://www.westlaw.com/Find/Default.wl?rs=dfa1.0&amp;vr=2.0&amp;DB=1000546&amp;DocName=15USCAS1117&amp;FindType=L&amp;ReferencePositionType=T&amp;ReferencePosition=SP_8b3b0000958a4" TargetMode="External"/><Relationship Id="rId272" Type="http://schemas.openxmlformats.org/officeDocument/2006/relationships/hyperlink" Target="http://www.westlaw.com/Find/Default.wl?rs=dfa1.0&amp;vr=2.0&amp;DB=0000506&amp;FindType=Y&amp;ReferencePositionType=S&amp;SerialNum=2004087153&amp;ReferencePosition=1261" TargetMode="External"/><Relationship Id="rId293" Type="http://schemas.openxmlformats.org/officeDocument/2006/relationships/hyperlink" Target="http://www.westlaw.com/Find/Default.wl?rs=dfa1.0&amp;vr=2.0&amp;DB=0000345&amp;FindType=Y&amp;ReferencePositionType=S&amp;SerialNum=1974105180&amp;ReferencePosition=13" TargetMode="External"/><Relationship Id="rId302" Type="http://schemas.openxmlformats.org/officeDocument/2006/relationships/hyperlink" Target="http://www.westlaw.com/Find/Default.wl?rs=dfa1.0&amp;vr=2.0&amp;DB=0000999&amp;FindType=Y&amp;SerialNum=2028390599" TargetMode="External"/><Relationship Id="rId307" Type="http://schemas.openxmlformats.org/officeDocument/2006/relationships/fontTable" Target="fontTable.xml"/><Relationship Id="rId20" Type="http://schemas.openxmlformats.org/officeDocument/2006/relationships/hyperlink" Target="http://www.westlaw.com/Find/Default.wl?rs=dfa1.0&amp;vr=2.0&amp;DB=0000999&amp;FindType=Y&amp;SerialNum=2028390599" TargetMode="External"/><Relationship Id="rId41" Type="http://schemas.openxmlformats.org/officeDocument/2006/relationships/hyperlink" Target="http://www.westlaw.com/Find/Default.wl?rs=dfa1.0&amp;vr=2.0&amp;DB=0000780&amp;FindType=Y&amp;SerialNum=2003391159" TargetMode="External"/><Relationship Id="rId62" Type="http://schemas.openxmlformats.org/officeDocument/2006/relationships/hyperlink" Target="http://www.westlaw.com/Find/Default.wl?rs=dfa1.0&amp;vr=2.0&amp;DB=0000780&amp;FindType=Y&amp;SerialNum=2005705929" TargetMode="External"/><Relationship Id="rId83" Type="http://schemas.openxmlformats.org/officeDocument/2006/relationships/hyperlink" Target="http://www.westlaw.com/Find/Default.wl?rs=dfa1.0&amp;vr=2.0&amp;DB=0000780&amp;FindType=Y&amp;SerialNum=1963104750" TargetMode="External"/><Relationship Id="rId88" Type="http://schemas.openxmlformats.org/officeDocument/2006/relationships/hyperlink" Target="http://www.westlaw.com/Find/Default.wl?rs=dfa1.0&amp;vr=2.0&amp;DB=0000780&amp;FindType=Y&amp;SerialNum=1992115426" TargetMode="External"/><Relationship Id="rId111" Type="http://schemas.openxmlformats.org/officeDocument/2006/relationships/hyperlink" Target="http://www.westlaw.com/Find/Default.wl?rs=dfa1.0&amp;vr=2.0&amp;DB=1000546&amp;DocName=21USCAS331&amp;FindType=L&amp;ReferencePositionType=T&amp;ReferencePosition=SP_8b3b0000958a4" TargetMode="External"/><Relationship Id="rId132" Type="http://schemas.openxmlformats.org/officeDocument/2006/relationships/hyperlink" Target="http://www.westlaw.com/Find/Default.wl?rs=dfa1.0&amp;vr=2.0&amp;DB=0000780&amp;FindType=Y&amp;SerialNum=2005705929" TargetMode="External"/><Relationship Id="rId153" Type="http://schemas.openxmlformats.org/officeDocument/2006/relationships/hyperlink" Target="http://www.westlaw.com/Find/Default.wl?rs=dfa1.0&amp;vr=2.0&amp;DB=0000780&amp;FindType=Y&amp;ReferencePositionType=S&amp;SerialNum=1992115426&amp;ReferencePosition=782" TargetMode="External"/><Relationship Id="rId174" Type="http://schemas.openxmlformats.org/officeDocument/2006/relationships/hyperlink" Target="http://www.westlaw.com/Find/Default.wl?rs=dfa1.0&amp;vr=2.0&amp;DB=0000780&amp;FindType=Y&amp;ReferencePositionType=S&amp;SerialNum=1969132973&amp;ReferencePosition=798" TargetMode="External"/><Relationship Id="rId179" Type="http://schemas.openxmlformats.org/officeDocument/2006/relationships/hyperlink" Target="http://www.westlaw.com/Find/Default.wl?rs=dfa1.0&amp;vr=2.0&amp;DB=0000350&amp;FindType=Y&amp;ReferencePositionType=S&amp;SerialNum=1984145204&amp;ReferencePosition=113" TargetMode="External"/><Relationship Id="rId195" Type="http://schemas.openxmlformats.org/officeDocument/2006/relationships/hyperlink" Target="http://www.westlaw.com/Find/Default.wl?rs=dfa1.0&amp;vr=2.0&amp;DB=0000780&amp;FindType=Y&amp;ReferencePositionType=S&amp;SerialNum=2001172197&amp;ReferencePosition=349" TargetMode="External"/><Relationship Id="rId209" Type="http://schemas.openxmlformats.org/officeDocument/2006/relationships/hyperlink" Target="http://www.westlaw.com/Find/Default.wl?rs=dfa1.0&amp;vr=2.0&amp;DB=0000350&amp;FindType=Y&amp;ReferencePositionType=S&amp;SerialNum=1990069208&amp;ReferencePosition=230" TargetMode="External"/><Relationship Id="rId190" Type="http://schemas.openxmlformats.org/officeDocument/2006/relationships/hyperlink" Target="http://www.westlaw.com/Find/Default.wl?rs=dfa1.0&amp;vr=2.0&amp;DB=1000546&amp;DocName=21USCAS343&amp;FindType=L&amp;ReferencePositionType=T&amp;ReferencePosition=SP_17a3000024864" TargetMode="External"/><Relationship Id="rId204" Type="http://schemas.openxmlformats.org/officeDocument/2006/relationships/hyperlink" Target="http://www.westlaw.com/Find/Default.wl?rs=dfa1.0&amp;vr=2.0&amp;DB=1000547&amp;DocName=21CFRS17.1&amp;FindType=L" TargetMode="External"/><Relationship Id="rId220" Type="http://schemas.openxmlformats.org/officeDocument/2006/relationships/hyperlink" Target="http://www.westlaw.com/Find/Default.wl?rs=dfa1.0&amp;vr=2.0&amp;DB=0000780&amp;FindType=Y&amp;ReferencePositionType=S&amp;SerialNum=2018265400&amp;ReferencePosition=574" TargetMode="External"/><Relationship Id="rId225" Type="http://schemas.openxmlformats.org/officeDocument/2006/relationships/hyperlink" Target="http://www.westlaw.com/Find/Default.wl?rs=dfa1.0&amp;vr=2.0&amp;DB=0000780&amp;FindType=Y&amp;ReferencePositionType=S&amp;SerialNum=1974127219&amp;ReferencePosition=551" TargetMode="External"/><Relationship Id="rId241" Type="http://schemas.openxmlformats.org/officeDocument/2006/relationships/hyperlink" Target="http://www.westlaw.com/Find/Default.wl?rs=dfa1.0&amp;vr=2.0&amp;DB=0000780&amp;FindType=Y&amp;ReferencePositionType=S&amp;SerialNum=1979135127&amp;ReferencePosition=118" TargetMode="External"/><Relationship Id="rId246" Type="http://schemas.openxmlformats.org/officeDocument/2006/relationships/hyperlink" Target="http://www.westlaw.com/Find/Default.wl?rs=dfa1.0&amp;vr=2.0&amp;DB=0000780&amp;FindType=Y&amp;ReferencePositionType=S&amp;SerialNum=1985127856&amp;ReferencePosition=717" TargetMode="External"/><Relationship Id="rId267" Type="http://schemas.openxmlformats.org/officeDocument/2006/relationships/hyperlink" Target="http://www.westlaw.com/Find/Default.wl?rs=dfa1.0&amp;vr=2.0&amp;DB=0000780&amp;FindType=Y&amp;ReferencePositionType=S&amp;SerialNum=1963104750&amp;ReferencePosition=357" TargetMode="External"/><Relationship Id="rId288" Type="http://schemas.openxmlformats.org/officeDocument/2006/relationships/hyperlink" Target="http://www.westlaw.com/Find/Default.wl?rs=dfa1.0&amp;vr=2.0&amp;DB=0000350&amp;FindType=Y&amp;ReferencePositionType=S&amp;SerialNum=1925121325&amp;ReferencePosition=604" TargetMode="External"/><Relationship Id="rId15" Type="http://schemas.openxmlformats.org/officeDocument/2006/relationships/hyperlink" Target="http://www.westlaw.com/Find/Default.wl?rs=dfa1.0&amp;vr=2.0&amp;DB=PROFILER-WLD&amp;DocName=0319964001&amp;FindType=h" TargetMode="External"/><Relationship Id="rId36" Type="http://schemas.openxmlformats.org/officeDocument/2006/relationships/hyperlink" Target="http://www.westlaw.com/Find/Default.wl?rs=dfa1.0&amp;vr=2.0&amp;DB=0000780&amp;FindType=Y&amp;SerialNum=2001172197" TargetMode="External"/><Relationship Id="rId57" Type="http://schemas.openxmlformats.org/officeDocument/2006/relationships/hyperlink" Target="http://www.westlaw.com/Find/Default.wl?rs=dfa1.0&amp;vr=2.0&amp;DB=0000350&amp;FindType=Y&amp;SerialNum=1992068197" TargetMode="External"/><Relationship Id="rId106" Type="http://schemas.openxmlformats.org/officeDocument/2006/relationships/hyperlink" Target="http://www.westlaw.com/Find/Default.wl?rs=dfa1.0&amp;vr=2.0&amp;DB=0000506&amp;FindType=Y&amp;SerialNum=1999158590" TargetMode="External"/><Relationship Id="rId127" Type="http://schemas.openxmlformats.org/officeDocument/2006/relationships/hyperlink" Target="http://www.westlaw.com/Find/Default.wl?rs=dfa1.0&amp;vr=2.0&amp;DB=1000547&amp;DocName=21CFRS102.33&amp;FindType=L&amp;ReferencePositionType=T&amp;ReferencePosition=SP_4b24000003ba5" TargetMode="External"/><Relationship Id="rId262" Type="http://schemas.openxmlformats.org/officeDocument/2006/relationships/hyperlink" Target="http://www.westlaw.com/Find/Default.wl?rs=dfa1.0&amp;vr=2.0&amp;DB=0000506&amp;FindType=Y&amp;ReferencePositionType=S&amp;SerialNum=2006815210&amp;ReferencePosition=940" TargetMode="External"/><Relationship Id="rId283" Type="http://schemas.openxmlformats.org/officeDocument/2006/relationships/hyperlink" Target="http://www.westlaw.com/Find/Default.wl?rs=dfa1.0&amp;vr=2.0&amp;DB=0000780&amp;FindType=Y&amp;ReferencePositionType=S&amp;SerialNum=2003244900&amp;ReferencePosition=273" TargetMode="External"/><Relationship Id="rId10" Type="http://schemas.openxmlformats.org/officeDocument/2006/relationships/header" Target="header2.xml"/><Relationship Id="rId31" Type="http://schemas.openxmlformats.org/officeDocument/2006/relationships/hyperlink" Target="http://www.westlaw.com/Find/Default.wl?rs=dfa1.0&amp;vr=2.0&amp;DB=0000506&amp;FindType=Y&amp;SerialNum=2000062053" TargetMode="External"/><Relationship Id="rId52" Type="http://schemas.openxmlformats.org/officeDocument/2006/relationships/hyperlink" Target="http://www.westlaw.com/Find/Default.wl?rs=dfa1.0&amp;vr=2.0&amp;DB=0000780&amp;FindType=Y&amp;SerialNum=1985127856" TargetMode="External"/><Relationship Id="rId73" Type="http://schemas.openxmlformats.org/officeDocument/2006/relationships/hyperlink" Target="http://www.westlaw.com/Find/Default.wl?rs=dfa1.0&amp;vr=2.0&amp;DB=0000506&amp;FindType=Y&amp;SerialNum=2021750119" TargetMode="External"/><Relationship Id="rId78" Type="http://schemas.openxmlformats.org/officeDocument/2006/relationships/hyperlink" Target="http://www.westlaw.com/Find/Default.wl?rs=dfa1.0&amp;vr=2.0&amp;DB=0000780&amp;FindType=Y&amp;SerialNum=1995073454" TargetMode="External"/><Relationship Id="rId94" Type="http://schemas.openxmlformats.org/officeDocument/2006/relationships/hyperlink" Target="http://www.westlaw.com/Find/Default.wl?rs=dfa1.0&amp;vr=2.0&amp;DB=0000780&amp;FindType=Y&amp;SerialNum=1969132973" TargetMode="External"/><Relationship Id="rId99" Type="http://schemas.openxmlformats.org/officeDocument/2006/relationships/hyperlink" Target="http://www.westlaw.com/Find/Default.wl?rs=dfa1.0&amp;vr=2.0&amp;DB=0000780&amp;FindType=Y&amp;SerialNum=1948119556" TargetMode="External"/><Relationship Id="rId101" Type="http://schemas.openxmlformats.org/officeDocument/2006/relationships/hyperlink" Target="http://www.westlaw.com/Find/Default.wl?rs=dfa1.0&amp;vr=2.0&amp;DB=0000780&amp;FindType=Y&amp;SerialNum=2000080477" TargetMode="External"/><Relationship Id="rId122" Type="http://schemas.openxmlformats.org/officeDocument/2006/relationships/hyperlink" Target="http://www.westlaw.com/Find/Default.wl?rs=dfa1.0&amp;vr=2.0&amp;DB=1000546&amp;DocName=21USCAS301&amp;FindType=L" TargetMode="External"/><Relationship Id="rId143" Type="http://schemas.openxmlformats.org/officeDocument/2006/relationships/hyperlink" Target="http://www.westlaw.com/Find/Default.wl?rs=dfa1.0&amp;vr=2.0&amp;DB=0000780&amp;FindType=Y&amp;SerialNum=1999146905" TargetMode="External"/><Relationship Id="rId148" Type="http://schemas.openxmlformats.org/officeDocument/2006/relationships/hyperlink" Target="http://www.westlaw.com/Find/Default.wl?rs=dfa1.0&amp;vr=2.0&amp;DB=0000780&amp;FindType=Y&amp;SerialNum=1988070498" TargetMode="External"/><Relationship Id="rId164" Type="http://schemas.openxmlformats.org/officeDocument/2006/relationships/hyperlink" Target="http://www.westlaw.com/Find/Default.wl?rs=dfa1.0&amp;vr=2.0&amp;DB=0000350&amp;FindType=Y&amp;ReferencePositionType=S&amp;SerialNum=1958110749&amp;ReferencePosition=649" TargetMode="External"/><Relationship Id="rId169" Type="http://schemas.openxmlformats.org/officeDocument/2006/relationships/hyperlink" Target="http://www.westlaw.com/Find/Default.wl?rs=dfa1.0&amp;vr=2.0&amp;DB=0000506&amp;FindType=Y&amp;ReferencePositionType=S&amp;SerialNum=1994243049&amp;ReferencePosition=1433" TargetMode="External"/><Relationship Id="rId185" Type="http://schemas.openxmlformats.org/officeDocument/2006/relationships/hyperlink" Target="http://www.westlaw.com/Find/Default.wl?rs=dfa1.0&amp;vr=2.0&amp;DB=1000546&amp;DocName=21USCAS331&amp;FindType=L&amp;ReferencePositionType=T&amp;ReferencePosition=SP_4b24000003ba5" TargetMode="External"/><Relationship Id="rId4" Type="http://schemas.openxmlformats.org/officeDocument/2006/relationships/settings" Target="settings.xml"/><Relationship Id="rId9" Type="http://schemas.openxmlformats.org/officeDocument/2006/relationships/footer" Target="footer1.xml"/><Relationship Id="rId180" Type="http://schemas.openxmlformats.org/officeDocument/2006/relationships/hyperlink" Target="http://www.westlaw.com/Find/Default.wl?rs=dfa1.0&amp;vr=2.0&amp;DB=1000546&amp;DocName=21USCAS301&amp;FindType=L" TargetMode="External"/><Relationship Id="rId210" Type="http://schemas.openxmlformats.org/officeDocument/2006/relationships/hyperlink" Target="http://www.westlaw.com/Find/Default.wl?rs=dfa1.0&amp;vr=2.0&amp;DB=0004637&amp;FindType=Y&amp;ReferencePositionType=S&amp;SerialNum=2017706407&amp;ReferencePosition=1290" TargetMode="External"/><Relationship Id="rId215" Type="http://schemas.openxmlformats.org/officeDocument/2006/relationships/hyperlink" Target="http://www.westlaw.com/Find/Default.wl?rs=dfa1.0&amp;vr=2.0&amp;DB=1000546&amp;DocName=21USCAS334&amp;FindType=L" TargetMode="External"/><Relationship Id="rId236" Type="http://schemas.openxmlformats.org/officeDocument/2006/relationships/hyperlink" Target="http://www.westlaw.com/Find/Default.wl?rs=dfa1.0&amp;vr=2.0&amp;DB=0000350&amp;FindType=Y&amp;ReferencePositionType=S&amp;SerialNum=1990069208&amp;ReferencePosition=231" TargetMode="External"/><Relationship Id="rId257" Type="http://schemas.openxmlformats.org/officeDocument/2006/relationships/hyperlink" Target="http://www.westlaw.com/Find/Default.wl?rs=dfa1.0&amp;vr=2.0&amp;DB=0000506&amp;FindType=Y&amp;ReferencePositionType=S&amp;SerialNum=1999209103&amp;ReferencePosition=1256" TargetMode="External"/><Relationship Id="rId278" Type="http://schemas.openxmlformats.org/officeDocument/2006/relationships/hyperlink" Target="http://www.westlaw.com/Find/Default.wl?rs=dfa1.0&amp;vr=2.0&amp;DB=1000546&amp;DocName=21USCAS343&amp;FindType=L&amp;ReferencePositionType=T&amp;ReferencePosition=SP_17a3000024864" TargetMode="External"/><Relationship Id="rId26" Type="http://schemas.openxmlformats.org/officeDocument/2006/relationships/hyperlink" Target="http://www.westlaw.com/Find/Default.wl?rs=dfa1.0&amp;vr=2.0&amp;DB=0000708&amp;FindType=Y&amp;SerialNum=2029588955" TargetMode="External"/><Relationship Id="rId231" Type="http://schemas.openxmlformats.org/officeDocument/2006/relationships/hyperlink" Target="http://www.westlaw.com/Find/Default.wl?rs=dfa1.0&amp;vr=2.0&amp;DB=0000780&amp;FindType=Y&amp;ReferencePositionType=S&amp;SerialNum=2003244900&amp;ReferencePosition=273" TargetMode="External"/><Relationship Id="rId252" Type="http://schemas.openxmlformats.org/officeDocument/2006/relationships/hyperlink" Target="http://www.westlaw.com/Find/Default.wl?rs=dfa1.0&amp;vr=2.0&amp;DB=0000506&amp;FindType=Y&amp;ReferencePositionType=S&amp;SerialNum=1999209103&amp;ReferencePosition=1254" TargetMode="External"/><Relationship Id="rId273" Type="http://schemas.openxmlformats.org/officeDocument/2006/relationships/hyperlink" Target="http://www.westlaw.com/Find/Default.wl?rs=dfa1.0&amp;vr=2.0&amp;DB=0000506&amp;FindType=Y&amp;ReferencePositionType=S&amp;SerialNum=2004087153&amp;ReferencePosition=1261" TargetMode="External"/><Relationship Id="rId294" Type="http://schemas.openxmlformats.org/officeDocument/2006/relationships/hyperlink" Target="http://www.westlaw.com/Find/Default.wl?rs=dfa1.0&amp;vr=2.0&amp;DB=0000345&amp;FindType=Y&amp;ReferencePositionType=S&amp;SerialNum=1974105180&amp;ReferencePosition=13" TargetMode="External"/><Relationship Id="rId308" Type="http://schemas.openxmlformats.org/officeDocument/2006/relationships/theme" Target="theme/theme1.xml"/><Relationship Id="rId47" Type="http://schemas.openxmlformats.org/officeDocument/2006/relationships/hyperlink" Target="http://www.westlaw.com/Find/Default.wl?rs=dfa1.0&amp;vr=2.0&amp;DB=0004637&amp;FindType=Y&amp;SerialNum=2003866834" TargetMode="External"/><Relationship Id="rId68" Type="http://schemas.openxmlformats.org/officeDocument/2006/relationships/hyperlink" Target="http://www.westlaw.com/Find/Default.wl?rs=dfa1.0&amp;vr=2.0&amp;DB=0004637&amp;FindType=Y&amp;SerialNum=2010519705" TargetMode="External"/><Relationship Id="rId89" Type="http://schemas.openxmlformats.org/officeDocument/2006/relationships/hyperlink" Target="http://www.westlaw.com/Find/Default.wl?rs=dfa1.0&amp;vr=2.0&amp;DB=0000350&amp;FindType=Y&amp;SerialNum=1982133317" TargetMode="External"/><Relationship Id="rId112" Type="http://schemas.openxmlformats.org/officeDocument/2006/relationships/hyperlink" Target="http://www.westlaw.com/Find/Default.wl?rs=dfa1.0&amp;vr=2.0&amp;DB=1000546&amp;DocName=21USCAS331&amp;FindType=L&amp;ReferencePositionType=T&amp;ReferencePosition=SP_4b24000003ba5" TargetMode="External"/><Relationship Id="rId133" Type="http://schemas.openxmlformats.org/officeDocument/2006/relationships/hyperlink" Target="http://www.westlaw.com/Find/Default.wl?rs=dfa1.0&amp;vr=2.0&amp;DB=0000780&amp;FindType=Y&amp;SerialNum=2005705929" TargetMode="External"/><Relationship Id="rId154" Type="http://schemas.openxmlformats.org/officeDocument/2006/relationships/hyperlink" Target="http://www.westlaw.com/Find/Default.wl?rs=dfa1.0&amp;vr=2.0&amp;DB=0000780&amp;FindType=Y&amp;ReferencePositionType=S&amp;SerialNum=1992115426&amp;ReferencePosition=782" TargetMode="External"/><Relationship Id="rId175" Type="http://schemas.openxmlformats.org/officeDocument/2006/relationships/hyperlink" Target="http://www.westlaw.com/Find/Default.wl?rs=dfa1.0&amp;vr=2.0&amp;DB=0000780&amp;FindType=Y&amp;ReferencePositionType=S&amp;SerialNum=1969132973&amp;ReferencePosition=798" TargetMode="External"/><Relationship Id="rId196" Type="http://schemas.openxmlformats.org/officeDocument/2006/relationships/hyperlink" Target="http://www.westlaw.com/Find/Default.wl?rs=dfa1.0&amp;vr=2.0&amp;DB=0000780&amp;FindType=Y&amp;ReferencePositionType=S&amp;SerialNum=2001172197&amp;ReferencePosition=349" TargetMode="External"/><Relationship Id="rId200" Type="http://schemas.openxmlformats.org/officeDocument/2006/relationships/hyperlink" Target="http://www.westlaw.com/Find/Default.wl?rs=dfa1.0&amp;vr=2.0&amp;DB=0000506&amp;FindType=Y&amp;ReferencePositionType=S&amp;SerialNum=2000062053&amp;ReferencePosition=698" TargetMode="External"/><Relationship Id="rId16" Type="http://schemas.openxmlformats.org/officeDocument/2006/relationships/hyperlink" Target="http://www.westlaw.com/Find/Default.wl?rs=dfa1.0&amp;vr=2.0&amp;DB=PROFILER-WLD&amp;DocName=0260910601&amp;FindType=h" TargetMode="External"/><Relationship Id="rId221" Type="http://schemas.openxmlformats.org/officeDocument/2006/relationships/hyperlink" Target="http://www.westlaw.com/Find/Default.wl?rs=dfa1.0&amp;vr=2.0&amp;DB=0000780&amp;FindType=Y&amp;ReferencePositionType=S&amp;SerialNum=2003244900&amp;ReferencePosition=273" TargetMode="External"/><Relationship Id="rId242" Type="http://schemas.openxmlformats.org/officeDocument/2006/relationships/hyperlink" Target="http://www.westlaw.com/Find/Default.wl?rs=dfa1.0&amp;vr=2.0&amp;DB=1000546&amp;DocName=21USCAS343&amp;FindType=L&amp;ReferencePositionType=T&amp;ReferencePosition=SP_ae0d0000c5150" TargetMode="External"/><Relationship Id="rId263" Type="http://schemas.openxmlformats.org/officeDocument/2006/relationships/hyperlink" Target="http://www.westlaw.com/Find/Default.wl?rs=dfa1.0&amp;vr=2.0&amp;DB=0000506&amp;FindType=Y&amp;ReferencePositionType=S&amp;SerialNum=2006815210&amp;ReferencePosition=940" TargetMode="External"/><Relationship Id="rId284" Type="http://schemas.openxmlformats.org/officeDocument/2006/relationships/hyperlink" Target="http://www.westlaw.com/Find/Default.wl?rs=dfa1.0&amp;vr=2.0&amp;DB=0000506&amp;FindType=Y&amp;ReferencePositionType=S&amp;SerialNum=2020235604&amp;ReferencePosition=512" TargetMode="External"/><Relationship Id="rId37" Type="http://schemas.openxmlformats.org/officeDocument/2006/relationships/hyperlink" Target="http://www.westlaw.com/Find/Default.wl?rs=dfa1.0&amp;vr=2.0&amp;DB=0000350&amp;FindType=Y&amp;SerialNum=1987083038" TargetMode="External"/><Relationship Id="rId58" Type="http://schemas.openxmlformats.org/officeDocument/2006/relationships/hyperlink" Target="http://www.westlaw.com/Find/Default.wl?rs=dfa1.0&amp;vr=2.0&amp;DB=0000350&amp;FindType=Y&amp;SerialNum=1992068197" TargetMode="External"/><Relationship Id="rId79" Type="http://schemas.openxmlformats.org/officeDocument/2006/relationships/hyperlink" Target="http://www.westlaw.com/Find/Default.wl?rs=dfa1.0&amp;vr=2.0&amp;DB=0000350&amp;FindType=Y&amp;SerialNum=1990069208" TargetMode="External"/><Relationship Id="rId102" Type="http://schemas.openxmlformats.org/officeDocument/2006/relationships/hyperlink" Target="http://www.westlaw.com/Find/Default.wl?rs=dfa1.0&amp;vr=2.0&amp;DB=0000780&amp;FindType=Y&amp;SerialNum=2000080477" TargetMode="External"/><Relationship Id="rId123" Type="http://schemas.openxmlformats.org/officeDocument/2006/relationships/hyperlink" Target="http://www.westlaw.com/Find/Default.wl?rs=dfa1.0&amp;vr=2.0&amp;DB=1077005&amp;DocName=UU%28IF7EDB7A3A1-A84D7D9E1B9-42F61BD3E79%29&amp;FindType=l" TargetMode="External"/><Relationship Id="rId144" Type="http://schemas.openxmlformats.org/officeDocument/2006/relationships/hyperlink" Target="http://www.westlaw.com/Find/Default.wl?rs=dfa1.0&amp;vr=2.0&amp;DB=0000780&amp;FindType=Y&amp;SerialNum=1995073454" TargetMode="External"/><Relationship Id="rId90" Type="http://schemas.openxmlformats.org/officeDocument/2006/relationships/hyperlink" Target="http://www.westlaw.com/Find/Default.wl?rs=dfa1.0&amp;vr=2.0&amp;DB=0000350&amp;FindType=Y&amp;SerialNum=1982133317" TargetMode="External"/><Relationship Id="rId165" Type="http://schemas.openxmlformats.org/officeDocument/2006/relationships/hyperlink" Target="http://www.westlaw.com/Find/Default.wl?rs=dfa1.0&amp;vr=2.0&amp;DB=0000350&amp;FindType=Y&amp;ReferencePositionType=S&amp;SerialNum=1958110749&amp;ReferencePosition=649" TargetMode="External"/><Relationship Id="rId186" Type="http://schemas.openxmlformats.org/officeDocument/2006/relationships/hyperlink" Target="http://www.westlaw.com/Find/Default.wl?rs=dfa1.0&amp;vr=2.0&amp;DB=1000546&amp;DocName=21USCAS321&amp;FindType=L&amp;ReferencePositionType=T&amp;ReferencePosition=SP_ae0d0000c5150" TargetMode="External"/><Relationship Id="rId211" Type="http://schemas.openxmlformats.org/officeDocument/2006/relationships/hyperlink" Target="http://www.westlaw.com/Find/Default.wl?rs=dfa1.0&amp;vr=2.0&amp;DB=0004637&amp;FindType=Y&amp;ReferencePositionType=S&amp;SerialNum=2017706407&amp;ReferencePosition=1290" TargetMode="External"/><Relationship Id="rId232" Type="http://schemas.openxmlformats.org/officeDocument/2006/relationships/hyperlink" Target="http://www.westlaw.com/Find/Default.wl?rs=dfa1.0&amp;vr=2.0&amp;DB=0000780&amp;FindType=Y&amp;ReferencePositionType=S&amp;SerialNum=2003244900&amp;ReferencePosition=273" TargetMode="External"/><Relationship Id="rId253" Type="http://schemas.openxmlformats.org/officeDocument/2006/relationships/hyperlink" Target="http://www.westlaw.com/Find/Default.wl?rs=dfa1.0&amp;vr=2.0&amp;DB=0000506&amp;FindType=Y&amp;ReferencePositionType=S&amp;SerialNum=1999209103&amp;ReferencePosition=1254" TargetMode="External"/><Relationship Id="rId274" Type="http://schemas.openxmlformats.org/officeDocument/2006/relationships/hyperlink" Target="http://www.westlaw.com/Find/Default.wl?rs=dfa1.0&amp;vr=2.0&amp;DB=0000350&amp;FindType=Y&amp;ReferencePositionType=S&amp;SerialNum=1992068197&amp;ReferencePosition=298" TargetMode="External"/><Relationship Id="rId295" Type="http://schemas.openxmlformats.org/officeDocument/2006/relationships/hyperlink" Target="http://www.westlaw.com/Find/Default.wl?rs=dfa1.0&amp;vr=2.0&amp;DB=0000350&amp;FindType=Y&amp;ReferencePositionType=S&amp;SerialNum=1982133317&amp;ReferencePosition=1162" TargetMode="External"/><Relationship Id="rId27" Type="http://schemas.openxmlformats.org/officeDocument/2006/relationships/hyperlink" Target="http://www.westlaw.com/Find/Default.wl?rs=dfa1.0&amp;vr=2.0&amp;DB=0000345&amp;FindType=Y&amp;SerialNum=1974105180" TargetMode="External"/><Relationship Id="rId48" Type="http://schemas.openxmlformats.org/officeDocument/2006/relationships/hyperlink" Target="http://www.westlaw.com/Find/Default.wl?rs=dfa1.0&amp;vr=2.0&amp;DB=0004637&amp;FindType=Y&amp;SerialNum=2003866834" TargetMode="External"/><Relationship Id="rId69" Type="http://schemas.openxmlformats.org/officeDocument/2006/relationships/hyperlink" Target="http://www.westlaw.com/Find/Default.wl?rs=dfa1.0&amp;vr=2.0&amp;DB=0000506&amp;FindType=Y&amp;SerialNum=1993198995" TargetMode="External"/><Relationship Id="rId113" Type="http://schemas.openxmlformats.org/officeDocument/2006/relationships/hyperlink" Target="http://www.westlaw.com/Find/Default.wl?rs=dfa1.0&amp;vr=2.0&amp;DB=1000546&amp;DocName=21USCAS333&amp;FindType=L&amp;ReferencePositionType=T&amp;ReferencePosition=SP_a83b000018c76" TargetMode="External"/><Relationship Id="rId134" Type="http://schemas.openxmlformats.org/officeDocument/2006/relationships/hyperlink" Target="http://www.westlaw.com/Find/Default.wl?rs=dfa1.0&amp;vr=2.0&amp;DB=0000780&amp;FindType=Y&amp;SerialNum=2003391159" TargetMode="External"/><Relationship Id="rId80" Type="http://schemas.openxmlformats.org/officeDocument/2006/relationships/hyperlink" Target="http://www.westlaw.com/Find/Default.wl?rs=dfa1.0&amp;vr=2.0&amp;DB=0000350&amp;FindType=Y&amp;SerialNum=1990069208" TargetMode="External"/><Relationship Id="rId155" Type="http://schemas.openxmlformats.org/officeDocument/2006/relationships/hyperlink" Target="http://www.westlaw.com/Find/Default.wl?rs=dfa1.0&amp;vr=2.0&amp;DB=0000780&amp;FindType=Y&amp;ReferencePositionType=S&amp;SerialNum=1992115426&amp;ReferencePosition=783" TargetMode="External"/><Relationship Id="rId176" Type="http://schemas.openxmlformats.org/officeDocument/2006/relationships/hyperlink" Target="http://www.westlaw.com/Find/Default.wl?rs=dfa1.0&amp;vr=2.0&amp;DB=0000780&amp;FindType=Y&amp;ReferencePositionType=S&amp;SerialNum=1948119556&amp;ReferencePosition=696" TargetMode="External"/><Relationship Id="rId197" Type="http://schemas.openxmlformats.org/officeDocument/2006/relationships/hyperlink" Target="http://www.westlaw.com/Find/Default.wl?rs=dfa1.0&amp;vr=2.0&amp;DB=1000546&amp;DocName=15USCAS1117&amp;FindType=L&amp;ReferencePositionType=T&amp;ReferencePosition=SP_8b3b0000958a4" TargetMode="External"/><Relationship Id="rId201" Type="http://schemas.openxmlformats.org/officeDocument/2006/relationships/hyperlink" Target="http://www.westlaw.com/Find/Default.wl?rs=dfa1.0&amp;vr=2.0&amp;DB=0000506&amp;FindType=Y&amp;ReferencePositionType=S&amp;SerialNum=2000062053&amp;ReferencePosition=698" TargetMode="External"/><Relationship Id="rId222" Type="http://schemas.openxmlformats.org/officeDocument/2006/relationships/hyperlink" Target="http://www.westlaw.com/Find/Default.wl?rs=dfa1.0&amp;vr=2.0&amp;DB=0000780&amp;FindType=Y&amp;ReferencePositionType=S&amp;SerialNum=2003244900&amp;ReferencePosition=273" TargetMode="External"/><Relationship Id="rId243" Type="http://schemas.openxmlformats.org/officeDocument/2006/relationships/hyperlink" Target="http://www.westlaw.com/Find/Default.wl?rs=dfa1.0&amp;vr=2.0&amp;DB=1000546&amp;DocName=21USCAS343&amp;FindType=L&amp;ReferencePositionType=T&amp;ReferencePosition=SP_17a3000024864" TargetMode="External"/><Relationship Id="rId264" Type="http://schemas.openxmlformats.org/officeDocument/2006/relationships/hyperlink" Target="http://www.westlaw.com/Find/Default.wl?rs=dfa1.0&amp;vr=2.0&amp;DB=0000780&amp;FindType=Y&amp;ReferencePositionType=S&amp;SerialNum=1979135127&amp;ReferencePosition=118" TargetMode="External"/><Relationship Id="rId285" Type="http://schemas.openxmlformats.org/officeDocument/2006/relationships/hyperlink" Target="http://www.westlaw.com/Find/Default.wl?rs=dfa1.0&amp;vr=2.0&amp;DB=0000506&amp;FindType=Y&amp;ReferencePositionType=S&amp;SerialNum=2020235604&amp;ReferencePosition=512" TargetMode="External"/><Relationship Id="rId17" Type="http://schemas.openxmlformats.org/officeDocument/2006/relationships/hyperlink" Target="http://www.westlaw.com/Find/Default.wl?rs=dfa1.0&amp;vr=2.0&amp;DB=PROFILER-WLD&amp;DocName=0179862701&amp;FindType=h" TargetMode="External"/><Relationship Id="rId38" Type="http://schemas.openxmlformats.org/officeDocument/2006/relationships/hyperlink" Target="http://www.westlaw.com/Find/Default.wl?rs=dfa1.0&amp;vr=2.0&amp;DB=0000350&amp;FindType=Y&amp;SerialNum=1987083038" TargetMode="External"/><Relationship Id="rId59" Type="http://schemas.openxmlformats.org/officeDocument/2006/relationships/hyperlink" Target="http://www.westlaw.com/Find/Default.wl?rs=dfa1.0&amp;vr=2.0&amp;DB=0000780&amp;FindType=Y&amp;SerialNum=1988070498" TargetMode="External"/><Relationship Id="rId103" Type="http://schemas.openxmlformats.org/officeDocument/2006/relationships/hyperlink" Target="http://www.westlaw.com/Find/Default.wl?rs=dfa1.0&amp;vr=2.0&amp;DB=0000780&amp;FindType=Y&amp;SerialNum=2018265400" TargetMode="External"/><Relationship Id="rId124" Type="http://schemas.openxmlformats.org/officeDocument/2006/relationships/hyperlink" Target="http://www.westlaw.com/Find/Default.wl?rs=dfa1.0&amp;vr=2.0&amp;DB=1000547&amp;DocName=21CFRS17.1&amp;FindType=L" TargetMode="External"/><Relationship Id="rId70" Type="http://schemas.openxmlformats.org/officeDocument/2006/relationships/hyperlink" Target="http://www.westlaw.com/Find/Default.wl?rs=dfa1.0&amp;vr=2.0&amp;DB=0000506&amp;FindType=Y&amp;SerialNum=1993198995" TargetMode="External"/><Relationship Id="rId91" Type="http://schemas.openxmlformats.org/officeDocument/2006/relationships/hyperlink" Target="http://www.westlaw.com/Find/Default.wl?rs=dfa1.0&amp;vr=2.0&amp;DB=0000350&amp;FindType=Y&amp;SerialNum=1984145204" TargetMode="External"/><Relationship Id="rId145" Type="http://schemas.openxmlformats.org/officeDocument/2006/relationships/hyperlink" Target="http://www.westlaw.com/Find/Default.wl?rs=dfa1.0&amp;vr=2.0&amp;DB=0000780&amp;FindType=Y&amp;SerialNum=1995073454" TargetMode="External"/><Relationship Id="rId166" Type="http://schemas.openxmlformats.org/officeDocument/2006/relationships/hyperlink" Target="http://www.westlaw.com/Find/Default.wl?rs=dfa1.0&amp;vr=2.0&amp;DB=0000506&amp;FindType=Y&amp;ReferencePositionType=S&amp;SerialNum=1994243049&amp;ReferencePosition=1433" TargetMode="External"/><Relationship Id="rId187" Type="http://schemas.openxmlformats.org/officeDocument/2006/relationships/hyperlink" Target="http://www.westlaw.com/Find/Default.wl?rs=dfa1.0&amp;vr=2.0&amp;DB=1000546&amp;DocName=21USCAS343&amp;FindType=L" TargetMode="External"/><Relationship Id="rId1" Type="http://schemas.openxmlformats.org/officeDocument/2006/relationships/numbering" Target="numbering.xml"/><Relationship Id="rId212" Type="http://schemas.openxmlformats.org/officeDocument/2006/relationships/hyperlink" Target="http://www.westlaw.com/Find/Default.wl?rs=dfa1.0&amp;vr=2.0&amp;DB=0000999&amp;FindType=Y&amp;SerialNum=2020797843" TargetMode="External"/><Relationship Id="rId233" Type="http://schemas.openxmlformats.org/officeDocument/2006/relationships/hyperlink" Target="http://www.westlaw.com/Find/Default.wl?rs=dfa1.0&amp;vr=2.0&amp;DB=1000547&amp;DocName=21CFRS102.33&amp;FindType=L&amp;ReferencePositionType=T&amp;ReferencePosition=SP_5ba1000067d06" TargetMode="External"/><Relationship Id="rId254" Type="http://schemas.openxmlformats.org/officeDocument/2006/relationships/hyperlink" Target="http://www.westlaw.com/Find/Default.wl?rs=dfa1.0&amp;vr=2.0&amp;DB=0000506&amp;FindType=Y&amp;ReferencePositionType=S&amp;SerialNum=1999209103&amp;ReferencePosition=1256" TargetMode="External"/><Relationship Id="rId28" Type="http://schemas.openxmlformats.org/officeDocument/2006/relationships/hyperlink" Target="http://www.westlaw.com/Find/Default.wl?rs=dfa1.0&amp;vr=2.0&amp;DB=0000345&amp;FindType=Y&amp;SerialNum=1974105180" TargetMode="External"/><Relationship Id="rId49" Type="http://schemas.openxmlformats.org/officeDocument/2006/relationships/hyperlink" Target="http://www.westlaw.com/Find/Default.wl?rs=dfa1.0&amp;vr=2.0&amp;DB=0000506&amp;FindType=Y&amp;SerialNum=2004087153" TargetMode="External"/><Relationship Id="rId114" Type="http://schemas.openxmlformats.org/officeDocument/2006/relationships/hyperlink" Target="http://www.westlaw.com/Find/Default.wl?rs=dfa1.0&amp;vr=2.0&amp;DB=1000546&amp;DocName=21USCAS337&amp;FindType=L&amp;ReferencePositionType=T&amp;ReferencePosition=SP_8b3b0000958a4" TargetMode="External"/><Relationship Id="rId275" Type="http://schemas.openxmlformats.org/officeDocument/2006/relationships/hyperlink" Target="http://www.westlaw.com/Find/Default.wl?rs=dfa1.0&amp;vr=2.0&amp;DB=0000350&amp;FindType=Y&amp;ReferencePositionType=S&amp;SerialNum=1992068197&amp;ReferencePosition=298" TargetMode="External"/><Relationship Id="rId296" Type="http://schemas.openxmlformats.org/officeDocument/2006/relationships/hyperlink" Target="http://www.westlaw.com/Find/Default.wl?rs=dfa1.0&amp;vr=2.0&amp;DB=0000350&amp;FindType=Y&amp;ReferencePositionType=S&amp;SerialNum=1982133317&amp;ReferencePosition=1162" TargetMode="External"/><Relationship Id="rId300" Type="http://schemas.openxmlformats.org/officeDocument/2006/relationships/hyperlink" Target="http://www.westlaw.com/Find/Default.wl?rs=dfa1.0&amp;vr=2.0&amp;DB=0000350&amp;FindType=Y&amp;ReferencePositionType=S&amp;SerialNum=1987083038&amp;ReferencePosition=31" TargetMode="External"/><Relationship Id="rId60" Type="http://schemas.openxmlformats.org/officeDocument/2006/relationships/hyperlink" Target="http://www.westlaw.com/Find/Default.wl?rs=dfa1.0&amp;vr=2.0&amp;DB=0000780&amp;FindType=Y&amp;SerialNum=1988070498" TargetMode="External"/><Relationship Id="rId81" Type="http://schemas.openxmlformats.org/officeDocument/2006/relationships/hyperlink" Target="http://www.westlaw.com/Find/Default.wl?rs=dfa1.0&amp;vr=2.0&amp;DB=0000506&amp;FindType=Y&amp;SerialNum=2020235604" TargetMode="External"/><Relationship Id="rId135" Type="http://schemas.openxmlformats.org/officeDocument/2006/relationships/hyperlink" Target="http://www.westlaw.com/Find/Default.wl?rs=dfa1.0&amp;vr=2.0&amp;DB=0000780&amp;FindType=Y&amp;SerialNum=2003391159" TargetMode="External"/><Relationship Id="rId156" Type="http://schemas.openxmlformats.org/officeDocument/2006/relationships/hyperlink" Target="http://www.westlaw.com/Find/Default.wl?rs=dfa1.0&amp;vr=2.0&amp;DB=0000780&amp;FindType=Y&amp;ReferencePositionType=S&amp;SerialNum=1992115426&amp;ReferencePosition=783" TargetMode="External"/><Relationship Id="rId177" Type="http://schemas.openxmlformats.org/officeDocument/2006/relationships/hyperlink" Target="http://www.westlaw.com/Find/Default.wl?rs=dfa1.0&amp;vr=2.0&amp;DB=0000780&amp;FindType=Y&amp;ReferencePositionType=S&amp;SerialNum=1948119556&amp;ReferencePosition=696" TargetMode="External"/><Relationship Id="rId198" Type="http://schemas.openxmlformats.org/officeDocument/2006/relationships/hyperlink" Target="http://www.westlaw.com/Find/Default.wl?rs=dfa1.0&amp;vr=2.0&amp;DB=1000546&amp;DocName=21USCAS371&amp;FindType=L&amp;ReferencePositionType=T&amp;ReferencePosition=SP_06a60000dfdc6" TargetMode="External"/><Relationship Id="rId202" Type="http://schemas.openxmlformats.org/officeDocument/2006/relationships/hyperlink" Target="http://www.westlaw.com/Find/Default.wl?rs=dfa1.0&amp;vr=2.0&amp;DB=1000546&amp;DocName=21USCAS333&amp;FindType=L&amp;ReferencePositionType=T&amp;ReferencePosition=SP_c0ae00006c482" TargetMode="External"/><Relationship Id="rId223" Type="http://schemas.openxmlformats.org/officeDocument/2006/relationships/hyperlink" Target="http://www.westlaw.com/Find/Default.wl?rs=dfa1.0&amp;vr=2.0&amp;DB=0000780&amp;FindType=Y&amp;ReferencePositionType=S&amp;SerialNum=1936123488&amp;ReferencePosition=503" TargetMode="External"/><Relationship Id="rId244" Type="http://schemas.openxmlformats.org/officeDocument/2006/relationships/hyperlink" Target="http://www.westlaw.com/Find/Default.wl?rs=dfa1.0&amp;vr=2.0&amp;DB=1000547&amp;DocName=21CFRS102.33&amp;FindType=L&amp;ReferencePositionType=T&amp;ReferencePosition=SP_4b24000003ba5" TargetMode="External"/><Relationship Id="rId18" Type="http://schemas.openxmlformats.org/officeDocument/2006/relationships/hyperlink" Target="http://www.westlaw.com/Find/Default.wl?rs=dfa1.0&amp;vr=2.0&amp;DB=PROFILER-WLD&amp;DocName=0455044301&amp;FindType=h" TargetMode="External"/><Relationship Id="rId39" Type="http://schemas.openxmlformats.org/officeDocument/2006/relationships/hyperlink" Target="http://www.westlaw.com/Find/Default.wl?rs=dfa1.0&amp;vr=2.0&amp;DB=0000506&amp;FindType=Y&amp;SerialNum=1999209103" TargetMode="External"/><Relationship Id="rId265" Type="http://schemas.openxmlformats.org/officeDocument/2006/relationships/hyperlink" Target="http://www.westlaw.com/Find/Default.wl?rs=dfa1.0&amp;vr=2.0&amp;DB=0000780&amp;FindType=Y&amp;ReferencePositionType=S&amp;SerialNum=1979135127&amp;ReferencePosition=118" TargetMode="External"/><Relationship Id="rId286" Type="http://schemas.openxmlformats.org/officeDocument/2006/relationships/hyperlink" Target="http://www.westlaw.com/Find/Default.wl?rs=dfa1.0&amp;vr=2.0&amp;DB=0000350&amp;FindType=Y&amp;ReferencePositionType=S&amp;SerialNum=1925121325&amp;ReferencePosition=604" TargetMode="External"/><Relationship Id="rId50" Type="http://schemas.openxmlformats.org/officeDocument/2006/relationships/hyperlink" Target="http://www.westlaw.com/Find/Default.wl?rs=dfa1.0&amp;vr=2.0&amp;DB=0000506&amp;FindType=Y&amp;SerialNum=2004087153" TargetMode="External"/><Relationship Id="rId104" Type="http://schemas.openxmlformats.org/officeDocument/2006/relationships/hyperlink" Target="http://www.westlaw.com/Find/Default.wl?rs=dfa1.0&amp;vr=2.0&amp;DB=0000780&amp;FindType=Y&amp;SerialNum=2018265400" TargetMode="External"/><Relationship Id="rId125" Type="http://schemas.openxmlformats.org/officeDocument/2006/relationships/hyperlink" Target="http://www.westlaw.com/Find/Default.wl?rs=dfa1.0&amp;vr=2.0&amp;DB=1000547&amp;DocName=21CFRS102.19&amp;FindType=L&amp;ReferencePositionType=T&amp;ReferencePosition=SP_8b3b0000958a4" TargetMode="External"/><Relationship Id="rId146" Type="http://schemas.openxmlformats.org/officeDocument/2006/relationships/hyperlink" Target="http://www.westlaw.com/Find/Default.wl?rs=dfa1.0&amp;vr=2.0&amp;DB=0000780&amp;FindType=Y&amp;SerialNum=1992115426" TargetMode="External"/><Relationship Id="rId167" Type="http://schemas.openxmlformats.org/officeDocument/2006/relationships/hyperlink" Target="http://www.westlaw.com/Find/Default.wl?rs=dfa1.0&amp;vr=2.0&amp;DB=0000506&amp;FindType=Y&amp;ReferencePositionType=S&amp;SerialNum=1994243049&amp;ReferencePosition=1433" TargetMode="External"/><Relationship Id="rId188" Type="http://schemas.openxmlformats.org/officeDocument/2006/relationships/hyperlink" Target="http://www.westlaw.com/Find/Default.wl?rs=dfa1.0&amp;vr=2.0&amp;DB=1000546&amp;DocName=21USCAS343&amp;FindType=L&amp;ReferencePositionType=T&amp;ReferencePosition=SP_8b3b0000958a4" TargetMode="External"/><Relationship Id="rId71" Type="http://schemas.openxmlformats.org/officeDocument/2006/relationships/hyperlink" Target="http://www.westlaw.com/Find/Default.wl?rs=dfa1.0&amp;vr=2.0&amp;DB=0000350&amp;FindType=Y&amp;SerialNum=1958110749" TargetMode="External"/><Relationship Id="rId92" Type="http://schemas.openxmlformats.org/officeDocument/2006/relationships/hyperlink" Target="http://www.westlaw.com/Find/Default.wl?rs=dfa1.0&amp;vr=2.0&amp;DB=0000350&amp;FindType=Y&amp;SerialNum=1984145204" TargetMode="External"/><Relationship Id="rId213" Type="http://schemas.openxmlformats.org/officeDocument/2006/relationships/hyperlink" Target="http://www.westlaw.com/Find/Default.wl?rs=dfa1.0&amp;vr=2.0&amp;DB=0000999&amp;FindType=Y&amp;SerialNum=2020797843" TargetMode="External"/><Relationship Id="rId234" Type="http://schemas.openxmlformats.org/officeDocument/2006/relationships/hyperlink" Target="http://www.westlaw.com/Find/Default.wl?rs=dfa1.0&amp;vr=2.0&amp;DB=0000506&amp;FindType=Y&amp;ReferencePositionType=S&amp;SerialNum=1993198995&amp;ReferencePosition=1149" TargetMode="External"/><Relationship Id="rId2" Type="http://schemas.openxmlformats.org/officeDocument/2006/relationships/styles" Target="styles.xml"/><Relationship Id="rId29" Type="http://schemas.openxmlformats.org/officeDocument/2006/relationships/hyperlink" Target="http://www.westlaw.com/Find/Default.wl?rs=dfa1.0&amp;vr=2.0&amp;DB=0000506&amp;FindType=Y&amp;SerialNum=1994243049" TargetMode="External"/><Relationship Id="rId255" Type="http://schemas.openxmlformats.org/officeDocument/2006/relationships/hyperlink" Target="http://www.westlaw.com/Find/Default.wl?rs=dfa1.0&amp;vr=2.0&amp;DB=0000506&amp;FindType=Y&amp;ReferencePositionType=S&amp;SerialNum=1999209103&amp;ReferencePosition=1256" TargetMode="External"/><Relationship Id="rId276" Type="http://schemas.openxmlformats.org/officeDocument/2006/relationships/hyperlink" Target="http://www.westlaw.com/Find/Default.wl?rs=dfa1.0&amp;vr=2.0&amp;DB=1000547&amp;DocName=21CFRS102.33&amp;FindType=L&amp;ReferencePositionType=T&amp;ReferencePosition=SP_5ba1000067d06" TargetMode="External"/><Relationship Id="rId297" Type="http://schemas.openxmlformats.org/officeDocument/2006/relationships/hyperlink" Target="http://www.westlaw.com/Find/Default.wl?rs=dfa1.0&amp;vr=2.0&amp;DB=0004637&amp;FindType=Y&amp;ReferencePositionType=S&amp;SerialNum=2003866834&amp;ReferencePosition=1049"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13373</Words>
  <Characters>76228</Characters>
  <Application>Microsoft Office Word</Application>
  <DocSecurity>0</DocSecurity>
  <Lines>635</Lines>
  <Paragraphs>178</Paragraphs>
  <ScaleCrop>false</ScaleCrop>
  <Company/>
  <LinksUpToDate>false</LinksUpToDate>
  <CharactersWithSpaces>89423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14.2.1.3.V2</dc:creator>
  <cp:lastModifiedBy>RebeccaT</cp:lastModifiedBy>
  <cp:revision>2</cp:revision>
  <dcterms:created xsi:type="dcterms:W3CDTF">2014-03-06T19:52:00Z</dcterms:created>
  <dcterms:modified xsi:type="dcterms:W3CDTF">2014-03-06T19:52:00Z</dcterms:modified>
</cp:coreProperties>
</file>